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3286"/>
        <w:gridCol w:w="5354"/>
      </w:tblGrid>
      <w:tr w:rsidR="00F43514" w:rsidRPr="001F4B70" w:rsidTr="001F4B70">
        <w:tc>
          <w:tcPr>
            <w:tcW w:w="3348" w:type="dxa"/>
            <w:shd w:val="clear" w:color="auto" w:fill="auto"/>
          </w:tcPr>
          <w:p w:rsidR="00F43514" w:rsidRPr="001F4B70" w:rsidRDefault="00F43514" w:rsidP="001F4B70">
            <w:pPr>
              <w:spacing w:before="120"/>
              <w:jc w:val="center"/>
              <w:rPr>
                <w:rFonts w:ascii="Arial" w:hAnsi="Arial" w:cs="Arial"/>
                <w:b/>
                <w:sz w:val="20"/>
                <w:szCs w:val="20"/>
              </w:rPr>
            </w:pPr>
            <w:r w:rsidRPr="001F4B70">
              <w:rPr>
                <w:rFonts w:ascii="Arial" w:hAnsi="Arial" w:cs="Arial"/>
                <w:b/>
                <w:sz w:val="20"/>
                <w:szCs w:val="20"/>
              </w:rPr>
              <w:t>CHÍNH PHỦ</w:t>
            </w:r>
            <w:r w:rsidRPr="001F4B70">
              <w:rPr>
                <w:rFonts w:ascii="Arial" w:hAnsi="Arial" w:cs="Arial"/>
                <w:b/>
                <w:sz w:val="20"/>
                <w:szCs w:val="20"/>
              </w:rPr>
              <w:br/>
              <w:t>-------</w:t>
            </w:r>
          </w:p>
        </w:tc>
        <w:tc>
          <w:tcPr>
            <w:tcW w:w="5508" w:type="dxa"/>
            <w:shd w:val="clear" w:color="auto" w:fill="auto"/>
          </w:tcPr>
          <w:p w:rsidR="00F43514" w:rsidRPr="001F4B70" w:rsidRDefault="00F43514" w:rsidP="001F4B70">
            <w:pPr>
              <w:spacing w:before="120"/>
              <w:jc w:val="center"/>
              <w:rPr>
                <w:rFonts w:ascii="Arial" w:hAnsi="Arial" w:cs="Arial"/>
                <w:sz w:val="20"/>
                <w:szCs w:val="20"/>
              </w:rPr>
            </w:pPr>
            <w:r w:rsidRPr="001F4B70">
              <w:rPr>
                <w:rFonts w:ascii="Arial" w:hAnsi="Arial" w:cs="Arial"/>
                <w:b/>
                <w:sz w:val="20"/>
                <w:szCs w:val="20"/>
              </w:rPr>
              <w:t>CỘNG HÒA XÃ HỘI CHỦ NGHĨA VIỆT NAM</w:t>
            </w:r>
            <w:r w:rsidRPr="001F4B70">
              <w:rPr>
                <w:rFonts w:ascii="Arial" w:hAnsi="Arial" w:cs="Arial"/>
                <w:b/>
                <w:sz w:val="20"/>
                <w:szCs w:val="20"/>
              </w:rPr>
              <w:br/>
              <w:t xml:space="preserve">Độc lập - Tự do - Hạnh phúc </w:t>
            </w:r>
            <w:r w:rsidRPr="001F4B70">
              <w:rPr>
                <w:rFonts w:ascii="Arial" w:hAnsi="Arial" w:cs="Arial"/>
                <w:b/>
                <w:sz w:val="20"/>
                <w:szCs w:val="20"/>
              </w:rPr>
              <w:br/>
              <w:t>---------------</w:t>
            </w:r>
          </w:p>
        </w:tc>
      </w:tr>
      <w:tr w:rsidR="00F43514" w:rsidRPr="001F4B70" w:rsidTr="001F4B70">
        <w:tc>
          <w:tcPr>
            <w:tcW w:w="3348" w:type="dxa"/>
            <w:shd w:val="clear" w:color="auto" w:fill="auto"/>
          </w:tcPr>
          <w:p w:rsidR="00F43514" w:rsidRPr="001F4B70" w:rsidRDefault="00F43514" w:rsidP="001F4B70">
            <w:pPr>
              <w:spacing w:before="120"/>
              <w:jc w:val="center"/>
              <w:rPr>
                <w:rFonts w:ascii="Arial" w:hAnsi="Arial" w:cs="Arial"/>
                <w:sz w:val="20"/>
                <w:szCs w:val="20"/>
              </w:rPr>
            </w:pPr>
            <w:r w:rsidRPr="001F4B70">
              <w:rPr>
                <w:rFonts w:ascii="Arial" w:hAnsi="Arial" w:cs="Arial"/>
                <w:sz w:val="20"/>
                <w:szCs w:val="20"/>
              </w:rPr>
              <w:t>Số: 158/2017/NĐ-CP</w:t>
            </w:r>
          </w:p>
        </w:tc>
        <w:tc>
          <w:tcPr>
            <w:tcW w:w="5508" w:type="dxa"/>
            <w:shd w:val="clear" w:color="auto" w:fill="auto"/>
          </w:tcPr>
          <w:p w:rsidR="00F43514" w:rsidRPr="001F4B70" w:rsidRDefault="00F43514" w:rsidP="001F4B70">
            <w:pPr>
              <w:spacing w:before="120"/>
              <w:jc w:val="right"/>
              <w:rPr>
                <w:rFonts w:ascii="Arial" w:hAnsi="Arial" w:cs="Arial"/>
                <w:i/>
                <w:sz w:val="20"/>
                <w:szCs w:val="20"/>
              </w:rPr>
            </w:pPr>
            <w:r w:rsidRPr="001F4B70">
              <w:rPr>
                <w:rFonts w:ascii="Arial" w:hAnsi="Arial" w:cs="Arial"/>
                <w:i/>
                <w:sz w:val="20"/>
                <w:szCs w:val="20"/>
              </w:rPr>
              <w:t>Hà Nội, ngày 27 tháng 12 năm 2017</w:t>
            </w:r>
          </w:p>
        </w:tc>
      </w:tr>
    </w:tbl>
    <w:p w:rsidR="00F43514" w:rsidRPr="008E732D" w:rsidRDefault="00F43514" w:rsidP="00F43514">
      <w:pPr>
        <w:spacing w:before="120"/>
        <w:rPr>
          <w:rFonts w:ascii="Arial" w:hAnsi="Arial" w:cs="Arial"/>
          <w:sz w:val="20"/>
        </w:rPr>
      </w:pPr>
    </w:p>
    <w:p w:rsidR="00F43514" w:rsidRPr="008E732D" w:rsidRDefault="00F43514" w:rsidP="00F43514">
      <w:pPr>
        <w:spacing w:before="120"/>
        <w:jc w:val="center"/>
        <w:rPr>
          <w:rFonts w:ascii="Arial" w:hAnsi="Arial" w:cs="Arial"/>
          <w:b/>
        </w:rPr>
      </w:pPr>
      <w:r w:rsidRPr="008E732D">
        <w:rPr>
          <w:rFonts w:ascii="Arial" w:hAnsi="Arial" w:cs="Arial"/>
          <w:b/>
        </w:rPr>
        <w:t>NGHỊ ĐỊNH</w:t>
      </w:r>
    </w:p>
    <w:p w:rsidR="00F43514" w:rsidRPr="008E732D" w:rsidRDefault="00F43514" w:rsidP="00F43514">
      <w:pPr>
        <w:spacing w:before="120"/>
        <w:jc w:val="center"/>
        <w:rPr>
          <w:rFonts w:ascii="Arial" w:hAnsi="Arial" w:cs="Arial"/>
          <w:sz w:val="20"/>
        </w:rPr>
      </w:pPr>
      <w:r w:rsidRPr="008E732D">
        <w:rPr>
          <w:rFonts w:ascii="Arial" w:hAnsi="Arial" w:cs="Arial"/>
          <w:sz w:val="20"/>
        </w:rPr>
        <w:t>BIỂU THUẾ NHẬP KHẨU ƯU ĐÃI ĐẶC BIỆT CỦA VIỆT NAM ĐỂ THỰC HIỆN HIỆP ĐỊNH THÀNH LẬP KHU VỰC THƯƠNG MẠI TỰ DO ASEAN - ÔT-XTRÂY-LIA - NIU DI-LÂN GIAI ĐOẠN 2018 - 2022</w:t>
      </w:r>
    </w:p>
    <w:p w:rsidR="00F43514" w:rsidRPr="008E732D" w:rsidRDefault="00F43514" w:rsidP="00F43514">
      <w:pPr>
        <w:spacing w:before="120"/>
        <w:rPr>
          <w:rFonts w:ascii="Arial" w:hAnsi="Arial" w:cs="Arial"/>
          <w:i/>
          <w:sz w:val="20"/>
        </w:rPr>
      </w:pPr>
      <w:r w:rsidRPr="008E732D">
        <w:rPr>
          <w:rFonts w:ascii="Arial" w:hAnsi="Arial" w:cs="Arial"/>
          <w:i/>
          <w:sz w:val="20"/>
        </w:rPr>
        <w:t>Căn cứ Luật tổ chức Chính phủ ngày 19 tháng 6 năm 2015;</w:t>
      </w:r>
    </w:p>
    <w:p w:rsidR="00F43514" w:rsidRPr="008E732D" w:rsidRDefault="00F43514" w:rsidP="00F43514">
      <w:pPr>
        <w:spacing w:before="120"/>
        <w:rPr>
          <w:rFonts w:ascii="Arial" w:hAnsi="Arial" w:cs="Arial"/>
          <w:i/>
          <w:sz w:val="20"/>
        </w:rPr>
      </w:pPr>
      <w:r w:rsidRPr="008E732D">
        <w:rPr>
          <w:rFonts w:ascii="Arial" w:hAnsi="Arial" w:cs="Arial"/>
          <w:i/>
          <w:sz w:val="20"/>
        </w:rPr>
        <w:t>Căn cứ Luật thuế xuất khẩu, thuế nhập khẩu ngày 06 tháng 4 năm 2016;</w:t>
      </w:r>
    </w:p>
    <w:p w:rsidR="00F43514" w:rsidRPr="008E732D" w:rsidRDefault="00F43514" w:rsidP="00F43514">
      <w:pPr>
        <w:spacing w:before="120"/>
        <w:rPr>
          <w:rFonts w:ascii="Arial" w:hAnsi="Arial" w:cs="Arial"/>
          <w:i/>
          <w:sz w:val="20"/>
        </w:rPr>
      </w:pPr>
      <w:r w:rsidRPr="008E732D">
        <w:rPr>
          <w:rFonts w:ascii="Arial" w:hAnsi="Arial" w:cs="Arial"/>
          <w:i/>
          <w:sz w:val="20"/>
        </w:rPr>
        <w:t>Căn cứ Luật điều ước quốc tế ngày 09 tháng 4 năm 2016;</w:t>
      </w:r>
    </w:p>
    <w:p w:rsidR="00F43514" w:rsidRPr="008E732D" w:rsidRDefault="00F43514" w:rsidP="00F43514">
      <w:pPr>
        <w:spacing w:before="120"/>
        <w:rPr>
          <w:rFonts w:ascii="Arial" w:hAnsi="Arial" w:cs="Arial"/>
          <w:i/>
          <w:sz w:val="20"/>
        </w:rPr>
      </w:pPr>
      <w:r w:rsidRPr="008E732D">
        <w:rPr>
          <w:rFonts w:ascii="Arial" w:hAnsi="Arial" w:cs="Arial"/>
          <w:i/>
          <w:sz w:val="20"/>
        </w:rPr>
        <w:t>Để thực hiện Hiệp định thành lập Khu vực Thương mại tự do ASEAN - Ôt-xtrây-lia - Niu Di-lân có hiệu lực kể từ ngày 01 tháng 01 năm 2010;</w:t>
      </w:r>
    </w:p>
    <w:p w:rsidR="00F43514" w:rsidRPr="008E732D" w:rsidRDefault="00F43514" w:rsidP="00F43514">
      <w:pPr>
        <w:spacing w:before="120"/>
        <w:rPr>
          <w:rFonts w:ascii="Arial" w:hAnsi="Arial" w:cs="Arial"/>
          <w:i/>
          <w:sz w:val="20"/>
        </w:rPr>
      </w:pPr>
      <w:r w:rsidRPr="008E732D">
        <w:rPr>
          <w:rFonts w:ascii="Arial" w:hAnsi="Arial" w:cs="Arial"/>
          <w:i/>
          <w:sz w:val="20"/>
        </w:rPr>
        <w:t>Theo đề nghị của Bộ trưởng Bộ Tài chính;</w:t>
      </w:r>
    </w:p>
    <w:p w:rsidR="00F43514" w:rsidRPr="008E732D" w:rsidRDefault="00F43514" w:rsidP="00F43514">
      <w:pPr>
        <w:spacing w:before="120"/>
        <w:rPr>
          <w:rFonts w:ascii="Arial" w:hAnsi="Arial" w:cs="Arial"/>
          <w:i/>
          <w:sz w:val="20"/>
        </w:rPr>
      </w:pPr>
      <w:r w:rsidRPr="008E732D">
        <w:rPr>
          <w:rFonts w:ascii="Arial" w:hAnsi="Arial" w:cs="Arial"/>
          <w:i/>
          <w:sz w:val="20"/>
        </w:rPr>
        <w:t>Chính phủ ban hành Nghị định Biểu thuế nhập khẩu ưu đãi đặc biệt của Việt Nam để thực hiện Hiệp định thành lập Khu vực Thương mại tự do ASEAN - Ôt-xtrây-lia - Niu Di-lân giai đoạn 2018 - 2022.</w:t>
      </w:r>
    </w:p>
    <w:p w:rsidR="00F43514" w:rsidRPr="008E732D" w:rsidRDefault="00F43514" w:rsidP="00F43514">
      <w:pPr>
        <w:spacing w:before="120"/>
        <w:rPr>
          <w:rFonts w:ascii="Arial" w:hAnsi="Arial" w:cs="Arial"/>
          <w:b/>
          <w:sz w:val="20"/>
        </w:rPr>
      </w:pPr>
      <w:r w:rsidRPr="008E732D">
        <w:rPr>
          <w:rFonts w:ascii="Arial" w:hAnsi="Arial" w:cs="Arial"/>
          <w:b/>
          <w:sz w:val="20"/>
        </w:rPr>
        <w:t>Điều 1. Phạm vi điều chỉnh</w:t>
      </w:r>
    </w:p>
    <w:p w:rsidR="00F43514" w:rsidRPr="008E732D" w:rsidRDefault="00F43514" w:rsidP="00F43514">
      <w:pPr>
        <w:spacing w:before="120"/>
        <w:rPr>
          <w:rFonts w:ascii="Arial" w:hAnsi="Arial" w:cs="Arial"/>
          <w:sz w:val="20"/>
        </w:rPr>
      </w:pPr>
      <w:r w:rsidRPr="008E732D">
        <w:rPr>
          <w:rFonts w:ascii="Arial" w:hAnsi="Arial" w:cs="Arial"/>
          <w:sz w:val="20"/>
        </w:rPr>
        <w:t>Nghị định này quy định thuế suất thuế nhập khẩu ưu đãi đặc biệt của Việt Nam để thực hiện Hiệp định thành lập Khu vực Thương mại tự do ASEAN - Ôt-xtrây-lia - Niu Di-lân giai đoạn 2018 - 2022 và điều kiện được hưởng thuế suất thuế nhập khẩu ưu đãi đặc biệt theo Hiệp định này.</w:t>
      </w:r>
    </w:p>
    <w:p w:rsidR="00F43514" w:rsidRPr="008E732D" w:rsidRDefault="00F43514" w:rsidP="00F43514">
      <w:pPr>
        <w:spacing w:before="120"/>
        <w:rPr>
          <w:rFonts w:ascii="Arial" w:hAnsi="Arial" w:cs="Arial"/>
          <w:b/>
          <w:sz w:val="20"/>
        </w:rPr>
      </w:pPr>
      <w:r w:rsidRPr="008E732D">
        <w:rPr>
          <w:rFonts w:ascii="Arial" w:hAnsi="Arial" w:cs="Arial"/>
          <w:b/>
          <w:sz w:val="20"/>
        </w:rPr>
        <w:t>Điều 2. Đối tượng áp dụng</w:t>
      </w:r>
    </w:p>
    <w:p w:rsidR="00F43514" w:rsidRPr="008E732D" w:rsidRDefault="00F43514" w:rsidP="00F43514">
      <w:pPr>
        <w:spacing w:before="120"/>
        <w:rPr>
          <w:rFonts w:ascii="Arial" w:hAnsi="Arial" w:cs="Arial"/>
          <w:sz w:val="20"/>
        </w:rPr>
      </w:pPr>
      <w:r w:rsidRPr="008E732D">
        <w:rPr>
          <w:rFonts w:ascii="Arial" w:hAnsi="Arial" w:cs="Arial"/>
          <w:sz w:val="20"/>
        </w:rPr>
        <w:t>1. Người nộp thuế theo quy định của Luật thuế xuất khẩu, thuế nhập khẩu.</w:t>
      </w:r>
    </w:p>
    <w:p w:rsidR="00F43514" w:rsidRPr="008E732D" w:rsidRDefault="00F43514" w:rsidP="00F43514">
      <w:pPr>
        <w:spacing w:before="120"/>
        <w:rPr>
          <w:rFonts w:ascii="Arial" w:hAnsi="Arial" w:cs="Arial"/>
          <w:sz w:val="20"/>
        </w:rPr>
      </w:pPr>
      <w:r w:rsidRPr="008E732D">
        <w:rPr>
          <w:rFonts w:ascii="Arial" w:hAnsi="Arial" w:cs="Arial"/>
          <w:sz w:val="20"/>
        </w:rPr>
        <w:t>2. Cơ quan hải quan, công chức hải quan.</w:t>
      </w:r>
    </w:p>
    <w:p w:rsidR="00F43514" w:rsidRPr="008E732D" w:rsidRDefault="00F43514" w:rsidP="00F43514">
      <w:pPr>
        <w:spacing w:before="120"/>
        <w:rPr>
          <w:rFonts w:ascii="Arial" w:hAnsi="Arial" w:cs="Arial"/>
          <w:sz w:val="20"/>
        </w:rPr>
      </w:pPr>
      <w:r w:rsidRPr="008E732D">
        <w:rPr>
          <w:rFonts w:ascii="Arial" w:hAnsi="Arial" w:cs="Arial"/>
          <w:sz w:val="20"/>
        </w:rPr>
        <w:t>3. Tổ chức, cá nhân có quyền và nghĩa vụ liên quan đến hàng hóa xuất khẩu, nhập khẩu.</w:t>
      </w:r>
    </w:p>
    <w:p w:rsidR="00F43514" w:rsidRPr="008E732D" w:rsidRDefault="00F43514" w:rsidP="00F43514">
      <w:pPr>
        <w:spacing w:before="120"/>
        <w:rPr>
          <w:rFonts w:ascii="Arial" w:hAnsi="Arial" w:cs="Arial"/>
          <w:b/>
          <w:sz w:val="20"/>
        </w:rPr>
      </w:pPr>
      <w:r w:rsidRPr="008E732D">
        <w:rPr>
          <w:rFonts w:ascii="Arial" w:hAnsi="Arial" w:cs="Arial"/>
          <w:b/>
          <w:sz w:val="20"/>
        </w:rPr>
        <w:t>Điều 3. Biểu thuế nhập khẩu ưu đãi đặc biệt</w:t>
      </w:r>
    </w:p>
    <w:p w:rsidR="00F43514" w:rsidRPr="008E732D" w:rsidRDefault="00F43514" w:rsidP="00F43514">
      <w:pPr>
        <w:spacing w:before="120"/>
        <w:rPr>
          <w:rFonts w:ascii="Arial" w:hAnsi="Arial" w:cs="Arial"/>
          <w:sz w:val="20"/>
        </w:rPr>
      </w:pPr>
      <w:r w:rsidRPr="008E732D">
        <w:rPr>
          <w:rFonts w:ascii="Arial" w:hAnsi="Arial" w:cs="Arial"/>
          <w:sz w:val="20"/>
        </w:rPr>
        <w:t>Ban hành kèm theo Nghị định này Biểu thuế nhập khẩu ưu đãi đặc biệt của Việt Nam (thuế suất thuế nhập khẩu ưu đãi đặc biệt áp dụng sau đây gọi là thuế suất AANZFTA) và Danh mục hàng hóa áp dụng thuế suất thuế nhập khẩu ngoài hạn ngạch của Việt Nam để thực hiện Hiệp định thành lập Khu vực Thương mại tự do ASEAN - Ôt-xtrây-lia - Niu Di-lân giai đoạn 2018 - 2022.</w:t>
      </w:r>
    </w:p>
    <w:p w:rsidR="00F43514" w:rsidRPr="008E732D" w:rsidRDefault="00F43514" w:rsidP="00F43514">
      <w:pPr>
        <w:spacing w:before="120"/>
        <w:rPr>
          <w:rFonts w:ascii="Arial" w:hAnsi="Arial" w:cs="Arial"/>
          <w:sz w:val="20"/>
        </w:rPr>
      </w:pPr>
      <w:r w:rsidRPr="008E732D">
        <w:rPr>
          <w:rFonts w:ascii="Arial" w:hAnsi="Arial" w:cs="Arial"/>
          <w:sz w:val="20"/>
        </w:rPr>
        <w:t>1. Các chú giải và quy tắc tổng quát giải thích việc phân loại hàng hóa được thực hiện theo Danh mục hàng hóa xuất khẩu, nhập khẩu Việt Nam dựa trên Hệ thống hài hòa mô tả và mã hóa hàng hóa của Tổ chức Hải quan thế giới.</w:t>
      </w:r>
    </w:p>
    <w:p w:rsidR="00F43514" w:rsidRPr="008E732D" w:rsidRDefault="00F43514" w:rsidP="00F43514">
      <w:pPr>
        <w:spacing w:before="120"/>
        <w:rPr>
          <w:rFonts w:ascii="Arial" w:hAnsi="Arial" w:cs="Arial"/>
          <w:sz w:val="20"/>
        </w:rPr>
      </w:pPr>
      <w:r w:rsidRPr="008E732D">
        <w:rPr>
          <w:rFonts w:ascii="Arial" w:hAnsi="Arial" w:cs="Arial"/>
          <w:sz w:val="20"/>
        </w:rPr>
        <w:t>2. Cột “Mã hàng” và cột “Mô tả hàng hóa” được xây dựng trên cơ sở Danh mục hàng hóa xuất khẩu, nhập khẩu Việt Nam và chi tiết theo cấp mã 8 số hoặc 10 số.</w:t>
      </w:r>
    </w:p>
    <w:p w:rsidR="00F43514" w:rsidRPr="008E732D" w:rsidRDefault="00F43514" w:rsidP="00F43514">
      <w:pPr>
        <w:spacing w:before="120"/>
        <w:rPr>
          <w:rFonts w:ascii="Arial" w:hAnsi="Arial" w:cs="Arial"/>
          <w:sz w:val="20"/>
        </w:rPr>
      </w:pPr>
      <w:r w:rsidRPr="008E732D">
        <w:rPr>
          <w:rFonts w:ascii="Arial" w:hAnsi="Arial" w:cs="Arial"/>
          <w:sz w:val="20"/>
        </w:rPr>
        <w:t>3. Cột “Thuế suất AANZFTA (%)”: Thuế suất áp dụng cho từng năm, được áp dụng từ ngày 01 tháng 01 năm 2018 đến ngày 31 tháng 12 năm 2022.</w:t>
      </w:r>
    </w:p>
    <w:p w:rsidR="00F43514" w:rsidRPr="008E732D" w:rsidRDefault="00F43514" w:rsidP="00F43514">
      <w:pPr>
        <w:spacing w:before="120"/>
        <w:rPr>
          <w:rFonts w:ascii="Arial" w:hAnsi="Arial" w:cs="Arial"/>
          <w:sz w:val="20"/>
        </w:rPr>
      </w:pPr>
      <w:r w:rsidRPr="008E732D">
        <w:rPr>
          <w:rFonts w:ascii="Arial" w:hAnsi="Arial" w:cs="Arial"/>
          <w:sz w:val="20"/>
        </w:rPr>
        <w:t>4. Ký hiệu “*”: Hàng hóa nhập khẩu không được hưởng thuế suất AANZFTA tại thời điểm tương ứng.</w:t>
      </w:r>
    </w:p>
    <w:p w:rsidR="00F43514" w:rsidRPr="008E732D" w:rsidRDefault="00F43514" w:rsidP="00F43514">
      <w:pPr>
        <w:spacing w:before="120"/>
        <w:rPr>
          <w:rFonts w:ascii="Arial" w:hAnsi="Arial" w:cs="Arial"/>
          <w:sz w:val="20"/>
        </w:rPr>
      </w:pPr>
      <w:r w:rsidRPr="008E732D">
        <w:rPr>
          <w:rFonts w:ascii="Arial" w:hAnsi="Arial" w:cs="Arial"/>
          <w:sz w:val="20"/>
        </w:rPr>
        <w:t xml:space="preserve">5. Đối với hàng hóa nhập khẩu áp dụng hạn ngạch thuế quan, mức thuế suất thuế nhập khẩu ưu đãi đặc biệt áp dụng đối với số lượng hàng hóa nhập khẩu trong hạn ngạch thuế quan được chi tiết tại Biểu thuế nhập khẩu ưu đãi đặc biệt của Việt Nam để thực hiện Hiệp định thành lập Khu </w:t>
      </w:r>
      <w:r w:rsidRPr="008E732D">
        <w:rPr>
          <w:rFonts w:ascii="Arial" w:hAnsi="Arial" w:cs="Arial"/>
          <w:sz w:val="20"/>
        </w:rPr>
        <w:lastRenderedPageBreak/>
        <w:t>vực Thương mại tự do ASEAN - Ôt-xtrây-lia - Niu Di-lân giai đoạn 2018 - 2022 ban hành kèm theo Nghị định này. Mức thuế suất thuế nhập khẩu ngoài hạn ngạch được áp dụng theo quy định tại Danh mục hàng hóa áp dụng thuế suất thuế nhập khẩu ngoài hạn ngạch của Việt Nam để thực hiện Hiệp định, số lượng hạn ngạch thuế quan nhập khẩu hàng năm theo quy định của Bộ Công Thương.</w:t>
      </w:r>
    </w:p>
    <w:p w:rsidR="00F43514" w:rsidRPr="008E732D" w:rsidRDefault="00F43514" w:rsidP="00F43514">
      <w:pPr>
        <w:spacing w:before="120"/>
        <w:rPr>
          <w:rFonts w:ascii="Arial" w:hAnsi="Arial" w:cs="Arial"/>
          <w:b/>
          <w:sz w:val="20"/>
        </w:rPr>
      </w:pPr>
      <w:r w:rsidRPr="008E732D">
        <w:rPr>
          <w:rFonts w:ascii="Arial" w:hAnsi="Arial" w:cs="Arial"/>
          <w:b/>
          <w:sz w:val="20"/>
        </w:rPr>
        <w:t>Điều 4. Điều kiện áp dụng thuế suất thuế nhập khẩu ưu đãi đặc biệt</w:t>
      </w:r>
    </w:p>
    <w:p w:rsidR="00F43514" w:rsidRPr="008E732D" w:rsidRDefault="00F43514" w:rsidP="00F43514">
      <w:pPr>
        <w:spacing w:before="120"/>
        <w:rPr>
          <w:rFonts w:ascii="Arial" w:hAnsi="Arial" w:cs="Arial"/>
          <w:sz w:val="20"/>
        </w:rPr>
      </w:pPr>
      <w:r w:rsidRPr="008E732D">
        <w:rPr>
          <w:rFonts w:ascii="Arial" w:hAnsi="Arial" w:cs="Arial"/>
          <w:sz w:val="20"/>
        </w:rPr>
        <w:t>Hàng hóa nhập khẩu được áp dụng thuế suất AANZFTA phải đáp ứng đủ các điều kiện sau:</w:t>
      </w:r>
    </w:p>
    <w:p w:rsidR="00F43514" w:rsidRPr="008E732D" w:rsidRDefault="00F43514" w:rsidP="00F43514">
      <w:pPr>
        <w:spacing w:before="120"/>
        <w:rPr>
          <w:rFonts w:ascii="Arial" w:hAnsi="Arial" w:cs="Arial"/>
          <w:sz w:val="20"/>
        </w:rPr>
      </w:pPr>
      <w:r w:rsidRPr="008E732D">
        <w:rPr>
          <w:rFonts w:ascii="Arial" w:hAnsi="Arial" w:cs="Arial"/>
          <w:sz w:val="20"/>
        </w:rPr>
        <w:t>1. Thuộc Biểu thuế nhập khẩu ưu đãi đặc biệt ban hành kèm theo Nghị định này.</w:t>
      </w:r>
    </w:p>
    <w:p w:rsidR="00F43514" w:rsidRPr="008E732D" w:rsidRDefault="00F43514" w:rsidP="00F43514">
      <w:pPr>
        <w:spacing w:before="120"/>
        <w:rPr>
          <w:rFonts w:ascii="Arial" w:hAnsi="Arial" w:cs="Arial"/>
          <w:sz w:val="20"/>
        </w:rPr>
      </w:pPr>
      <w:r w:rsidRPr="008E732D">
        <w:rPr>
          <w:rFonts w:ascii="Arial" w:hAnsi="Arial" w:cs="Arial"/>
          <w:sz w:val="20"/>
        </w:rPr>
        <w:t>2. Được nhập khẩu từ các nước là thành viên của Hiệp định thành lập Khu vực Thương mại tự do ASEAN - Ôt-xtrây-lia - Niu Di-lân, bao gồm các nước sau:</w:t>
      </w:r>
    </w:p>
    <w:p w:rsidR="00F43514" w:rsidRPr="008E732D" w:rsidRDefault="00F43514" w:rsidP="00F43514">
      <w:pPr>
        <w:spacing w:before="120"/>
        <w:rPr>
          <w:rFonts w:ascii="Arial" w:hAnsi="Arial" w:cs="Arial"/>
          <w:sz w:val="20"/>
        </w:rPr>
      </w:pPr>
      <w:r w:rsidRPr="008E732D">
        <w:rPr>
          <w:rFonts w:ascii="Arial" w:hAnsi="Arial" w:cs="Arial"/>
          <w:sz w:val="20"/>
        </w:rPr>
        <w:t>a) Bru-nây Đa-rút-xa-lam;</w:t>
      </w:r>
    </w:p>
    <w:p w:rsidR="00F43514" w:rsidRPr="008E732D" w:rsidRDefault="00F43514" w:rsidP="00F43514">
      <w:pPr>
        <w:spacing w:before="120"/>
        <w:rPr>
          <w:rFonts w:ascii="Arial" w:hAnsi="Arial" w:cs="Arial"/>
          <w:sz w:val="20"/>
        </w:rPr>
      </w:pPr>
      <w:r w:rsidRPr="008E732D">
        <w:rPr>
          <w:rFonts w:ascii="Arial" w:hAnsi="Arial" w:cs="Arial"/>
          <w:sz w:val="20"/>
        </w:rPr>
        <w:t>b) Vương quốc Cam-pu-chia;</w:t>
      </w:r>
    </w:p>
    <w:p w:rsidR="00F43514" w:rsidRPr="008E732D" w:rsidRDefault="00F43514" w:rsidP="00F43514">
      <w:pPr>
        <w:spacing w:before="120"/>
        <w:rPr>
          <w:rFonts w:ascii="Arial" w:hAnsi="Arial" w:cs="Arial"/>
          <w:sz w:val="20"/>
        </w:rPr>
      </w:pPr>
      <w:r w:rsidRPr="008E732D">
        <w:rPr>
          <w:rFonts w:ascii="Arial" w:hAnsi="Arial" w:cs="Arial"/>
          <w:sz w:val="20"/>
        </w:rPr>
        <w:t>c) Cộng hòa In-đô-nê-xi-a;</w:t>
      </w:r>
    </w:p>
    <w:p w:rsidR="00F43514" w:rsidRPr="008E732D" w:rsidRDefault="00F43514" w:rsidP="00F43514">
      <w:pPr>
        <w:spacing w:before="120"/>
        <w:rPr>
          <w:rFonts w:ascii="Arial" w:hAnsi="Arial" w:cs="Arial"/>
          <w:sz w:val="20"/>
        </w:rPr>
      </w:pPr>
      <w:r w:rsidRPr="008E732D">
        <w:rPr>
          <w:rFonts w:ascii="Arial" w:hAnsi="Arial" w:cs="Arial"/>
          <w:sz w:val="20"/>
        </w:rPr>
        <w:t>d) Cộng hòa Dân chủ Nhân dân Lào;</w:t>
      </w:r>
    </w:p>
    <w:p w:rsidR="00F43514" w:rsidRPr="008E732D" w:rsidRDefault="00F43514" w:rsidP="00F43514">
      <w:pPr>
        <w:spacing w:before="120"/>
        <w:rPr>
          <w:rFonts w:ascii="Arial" w:hAnsi="Arial" w:cs="Arial"/>
          <w:sz w:val="20"/>
        </w:rPr>
      </w:pPr>
      <w:r w:rsidRPr="008E732D">
        <w:rPr>
          <w:rFonts w:ascii="Arial" w:hAnsi="Arial" w:cs="Arial"/>
          <w:sz w:val="20"/>
        </w:rPr>
        <w:t>đ) Ma-lay-xi-a;</w:t>
      </w:r>
    </w:p>
    <w:p w:rsidR="00F43514" w:rsidRPr="008E732D" w:rsidRDefault="00F43514" w:rsidP="00F43514">
      <w:pPr>
        <w:spacing w:before="120"/>
        <w:rPr>
          <w:rFonts w:ascii="Arial" w:hAnsi="Arial" w:cs="Arial"/>
          <w:sz w:val="20"/>
        </w:rPr>
      </w:pPr>
      <w:r w:rsidRPr="008E732D">
        <w:rPr>
          <w:rFonts w:ascii="Arial" w:hAnsi="Arial" w:cs="Arial"/>
          <w:sz w:val="20"/>
        </w:rPr>
        <w:t>e) Cộng hòa Liên bang Mi-an-ma;</w:t>
      </w:r>
    </w:p>
    <w:p w:rsidR="00F43514" w:rsidRPr="008E732D" w:rsidRDefault="00F43514" w:rsidP="00F43514">
      <w:pPr>
        <w:spacing w:before="120"/>
        <w:rPr>
          <w:rFonts w:ascii="Arial" w:hAnsi="Arial" w:cs="Arial"/>
          <w:sz w:val="20"/>
        </w:rPr>
      </w:pPr>
      <w:r w:rsidRPr="008E732D">
        <w:rPr>
          <w:rFonts w:ascii="Arial" w:hAnsi="Arial" w:cs="Arial"/>
          <w:sz w:val="20"/>
        </w:rPr>
        <w:t>g) Cộng hòa Phi-líp-pin;</w:t>
      </w:r>
    </w:p>
    <w:p w:rsidR="00F43514" w:rsidRPr="008E732D" w:rsidRDefault="00F43514" w:rsidP="00F43514">
      <w:pPr>
        <w:spacing w:before="120"/>
        <w:rPr>
          <w:rFonts w:ascii="Arial" w:hAnsi="Arial" w:cs="Arial"/>
          <w:sz w:val="20"/>
        </w:rPr>
      </w:pPr>
      <w:r w:rsidRPr="008E732D">
        <w:rPr>
          <w:rFonts w:ascii="Arial" w:hAnsi="Arial" w:cs="Arial"/>
          <w:sz w:val="20"/>
        </w:rPr>
        <w:t>h) Cộng hòa Xinh-ga-po;</w:t>
      </w:r>
    </w:p>
    <w:p w:rsidR="00F43514" w:rsidRPr="008E732D" w:rsidRDefault="00F43514" w:rsidP="00F43514">
      <w:pPr>
        <w:spacing w:before="120"/>
        <w:rPr>
          <w:rFonts w:ascii="Arial" w:hAnsi="Arial" w:cs="Arial"/>
          <w:sz w:val="20"/>
        </w:rPr>
      </w:pPr>
      <w:r w:rsidRPr="008E732D">
        <w:rPr>
          <w:rFonts w:ascii="Arial" w:hAnsi="Arial" w:cs="Arial"/>
          <w:sz w:val="20"/>
        </w:rPr>
        <w:t>i) Vương quốc Thái Lan;</w:t>
      </w:r>
    </w:p>
    <w:p w:rsidR="00F43514" w:rsidRPr="008E732D" w:rsidRDefault="00F43514" w:rsidP="00F43514">
      <w:pPr>
        <w:spacing w:before="120"/>
        <w:rPr>
          <w:rFonts w:ascii="Arial" w:hAnsi="Arial" w:cs="Arial"/>
          <w:sz w:val="20"/>
        </w:rPr>
      </w:pPr>
      <w:r w:rsidRPr="008E732D">
        <w:rPr>
          <w:rFonts w:ascii="Arial" w:hAnsi="Arial" w:cs="Arial"/>
          <w:sz w:val="20"/>
        </w:rPr>
        <w:t>k) Ôt-xtrây-lia;</w:t>
      </w:r>
    </w:p>
    <w:p w:rsidR="00F43514" w:rsidRPr="008E732D" w:rsidRDefault="00F43514" w:rsidP="00F43514">
      <w:pPr>
        <w:spacing w:before="120"/>
        <w:rPr>
          <w:rFonts w:ascii="Arial" w:hAnsi="Arial" w:cs="Arial"/>
          <w:sz w:val="20"/>
        </w:rPr>
      </w:pPr>
      <w:r w:rsidRPr="008E732D">
        <w:rPr>
          <w:rFonts w:ascii="Arial" w:hAnsi="Arial" w:cs="Arial"/>
          <w:sz w:val="20"/>
        </w:rPr>
        <w:t>l) Niu Di-lân;</w:t>
      </w:r>
    </w:p>
    <w:p w:rsidR="00F43514" w:rsidRPr="008E732D" w:rsidRDefault="00F43514" w:rsidP="00F43514">
      <w:pPr>
        <w:spacing w:before="120"/>
        <w:rPr>
          <w:rFonts w:ascii="Arial" w:hAnsi="Arial" w:cs="Arial"/>
          <w:sz w:val="20"/>
        </w:rPr>
      </w:pPr>
      <w:r w:rsidRPr="008E732D">
        <w:rPr>
          <w:rFonts w:ascii="Arial" w:hAnsi="Arial" w:cs="Arial"/>
          <w:sz w:val="20"/>
        </w:rPr>
        <w:t>m) Cộng hòa xã hội chủ nghĩa Việt Nam (Hàng hóa từ khu phi thuế quan nhập khẩu vào thị trường trong nước).</w:t>
      </w:r>
    </w:p>
    <w:p w:rsidR="00F43514" w:rsidRPr="008E732D" w:rsidRDefault="00F43514" w:rsidP="00F43514">
      <w:pPr>
        <w:spacing w:before="120"/>
        <w:rPr>
          <w:rFonts w:ascii="Arial" w:hAnsi="Arial" w:cs="Arial"/>
          <w:sz w:val="20"/>
        </w:rPr>
      </w:pPr>
      <w:r w:rsidRPr="008E732D">
        <w:rPr>
          <w:rFonts w:ascii="Arial" w:hAnsi="Arial" w:cs="Arial"/>
          <w:sz w:val="20"/>
        </w:rPr>
        <w:t>3. Được vận chuyển trực tiếp từ nước xuất khẩu theo khoản 2 Điều 4 Nghị định này vào Việt Nam do Bộ Công Thương quy định.</w:t>
      </w:r>
    </w:p>
    <w:p w:rsidR="00F43514" w:rsidRPr="008E732D" w:rsidRDefault="00F43514" w:rsidP="00F43514">
      <w:pPr>
        <w:spacing w:before="120"/>
        <w:rPr>
          <w:rFonts w:ascii="Arial" w:hAnsi="Arial" w:cs="Arial"/>
          <w:sz w:val="20"/>
        </w:rPr>
      </w:pPr>
      <w:r w:rsidRPr="008E732D">
        <w:rPr>
          <w:rFonts w:ascii="Arial" w:hAnsi="Arial" w:cs="Arial"/>
          <w:sz w:val="20"/>
        </w:rPr>
        <w:t>4. Đáp ứng các quy định về xuất xứ hàng hóa trong Hiệp định thành lập Khu vực Thương mại tự do ASEAN - Ôt-xtrây-lia - Niu Di-lân, có Giấy chứng nhận xuất xứ hàng hóa (C/O) Mẫu AANZ, theo quy định hiện hành của pháp luật.</w:t>
      </w:r>
    </w:p>
    <w:p w:rsidR="00F43514" w:rsidRPr="008E732D" w:rsidRDefault="00F43514" w:rsidP="00F43514">
      <w:pPr>
        <w:spacing w:before="120"/>
        <w:rPr>
          <w:rFonts w:ascii="Arial" w:hAnsi="Arial" w:cs="Arial"/>
          <w:b/>
          <w:sz w:val="20"/>
        </w:rPr>
      </w:pPr>
      <w:r w:rsidRPr="008E732D">
        <w:rPr>
          <w:rFonts w:ascii="Arial" w:hAnsi="Arial" w:cs="Arial"/>
          <w:b/>
          <w:sz w:val="20"/>
        </w:rPr>
        <w:t>Điều 5. Hiệu lực thi hành</w:t>
      </w:r>
    </w:p>
    <w:p w:rsidR="00F43514" w:rsidRPr="008E732D" w:rsidRDefault="00F43514" w:rsidP="00F43514">
      <w:pPr>
        <w:spacing w:before="120"/>
        <w:rPr>
          <w:rFonts w:ascii="Arial" w:hAnsi="Arial" w:cs="Arial"/>
          <w:sz w:val="20"/>
        </w:rPr>
      </w:pPr>
      <w:r w:rsidRPr="008E732D">
        <w:rPr>
          <w:rFonts w:ascii="Arial" w:hAnsi="Arial" w:cs="Arial"/>
          <w:sz w:val="20"/>
        </w:rPr>
        <w:t>1. Nghị đinh này có hiệu lực thi hành từ ngày 01 tháng 01 năm 2018.</w:t>
      </w:r>
    </w:p>
    <w:p w:rsidR="00F43514" w:rsidRPr="008E732D" w:rsidRDefault="00F43514" w:rsidP="00F43514">
      <w:pPr>
        <w:spacing w:before="120"/>
        <w:rPr>
          <w:rFonts w:ascii="Arial" w:hAnsi="Arial" w:cs="Arial"/>
          <w:sz w:val="20"/>
        </w:rPr>
      </w:pPr>
      <w:r w:rsidRPr="008E732D">
        <w:rPr>
          <w:rFonts w:ascii="Arial" w:hAnsi="Arial" w:cs="Arial"/>
          <w:sz w:val="20"/>
        </w:rPr>
        <w:t>2. Bãi bỏ Nghị định số 127/2016/NĐ-CP ngày 01 tháng 9 năm 2016 của Chính phủ ban hành Biểu thuế nhập khẩu ưu đãi đặc biệt của Việt Nam để thực hiện Hiệp định thành lập Khu vực Thương mại tự do ASEAN - Ôt-xtrây-lia - Niu Di-lân giai đoạn 2016-2018.</w:t>
      </w:r>
    </w:p>
    <w:p w:rsidR="00F43514" w:rsidRPr="008E732D" w:rsidRDefault="00F43514" w:rsidP="00F43514">
      <w:pPr>
        <w:spacing w:before="120"/>
        <w:rPr>
          <w:rFonts w:ascii="Arial" w:hAnsi="Arial" w:cs="Arial"/>
          <w:b/>
          <w:sz w:val="20"/>
        </w:rPr>
      </w:pPr>
      <w:r w:rsidRPr="008E732D">
        <w:rPr>
          <w:rFonts w:ascii="Arial" w:hAnsi="Arial" w:cs="Arial"/>
          <w:b/>
          <w:sz w:val="20"/>
        </w:rPr>
        <w:t>Điều 6. Trách nhiệm thi hành</w:t>
      </w:r>
    </w:p>
    <w:p w:rsidR="00F43514" w:rsidRPr="008E732D" w:rsidRDefault="00F43514" w:rsidP="00F43514">
      <w:pPr>
        <w:spacing w:before="120"/>
        <w:rPr>
          <w:rFonts w:ascii="Arial" w:hAnsi="Arial" w:cs="Arial"/>
          <w:sz w:val="20"/>
        </w:rPr>
      </w:pPr>
      <w:r w:rsidRPr="008E732D">
        <w:rPr>
          <w:rFonts w:ascii="Arial" w:hAnsi="Arial" w:cs="Arial"/>
          <w:sz w:val="20"/>
        </w:rPr>
        <w:t>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p w:rsidR="00F43514" w:rsidRPr="008E732D" w:rsidRDefault="00F43514" w:rsidP="00F43514">
      <w:pPr>
        <w:spacing w:before="120"/>
        <w:rPr>
          <w:rFonts w:ascii="Arial" w:hAnsi="Arial" w:cs="Arial"/>
          <w:sz w:val="20"/>
        </w:rPr>
      </w:pPr>
    </w:p>
    <w:tbl>
      <w:tblPr>
        <w:tblW w:w="0" w:type="auto"/>
        <w:tblLook w:val="01E0" w:firstRow="1" w:lastRow="1" w:firstColumn="1" w:lastColumn="1" w:noHBand="0" w:noVBand="0"/>
      </w:tblPr>
      <w:tblGrid>
        <w:gridCol w:w="4318"/>
        <w:gridCol w:w="4322"/>
      </w:tblGrid>
      <w:tr w:rsidR="00F43514" w:rsidRPr="001F4B70" w:rsidTr="001F4B70">
        <w:tc>
          <w:tcPr>
            <w:tcW w:w="4428" w:type="dxa"/>
            <w:shd w:val="clear" w:color="auto" w:fill="auto"/>
          </w:tcPr>
          <w:p w:rsidR="00F43514" w:rsidRPr="001F4B70" w:rsidRDefault="00F43514" w:rsidP="001F4B70">
            <w:pPr>
              <w:spacing w:before="120"/>
              <w:rPr>
                <w:rFonts w:ascii="Arial" w:hAnsi="Arial" w:cs="Arial"/>
                <w:sz w:val="20"/>
                <w:szCs w:val="20"/>
              </w:rPr>
            </w:pPr>
            <w:r w:rsidRPr="001F4B70">
              <w:rPr>
                <w:rFonts w:ascii="Arial" w:hAnsi="Arial" w:cs="Arial"/>
                <w:b/>
                <w:i/>
                <w:sz w:val="20"/>
                <w:szCs w:val="20"/>
              </w:rPr>
              <w:br/>
              <w:t>Nơi nhận:</w:t>
            </w:r>
            <w:r w:rsidRPr="001F4B70">
              <w:rPr>
                <w:rFonts w:ascii="Arial" w:hAnsi="Arial" w:cs="Arial"/>
                <w:b/>
                <w:i/>
                <w:sz w:val="20"/>
                <w:szCs w:val="20"/>
              </w:rPr>
              <w:br/>
            </w:r>
            <w:r w:rsidRPr="001F4B70">
              <w:rPr>
                <w:rFonts w:ascii="Arial" w:hAnsi="Arial" w:cs="Arial"/>
                <w:sz w:val="16"/>
              </w:rPr>
              <w:t>- Ban Bí thư Trung ương Đảng;</w:t>
            </w:r>
            <w:r w:rsidRPr="001F4B70">
              <w:rPr>
                <w:rFonts w:ascii="Arial" w:hAnsi="Arial" w:cs="Arial"/>
                <w:sz w:val="16"/>
              </w:rPr>
              <w:br/>
              <w:t>- Thủ tướng, các Phó Thủ tướng Chính phủ;</w:t>
            </w:r>
            <w:r w:rsidRPr="001F4B70">
              <w:rPr>
                <w:rFonts w:ascii="Arial" w:hAnsi="Arial" w:cs="Arial"/>
                <w:sz w:val="16"/>
              </w:rPr>
              <w:br/>
              <w:t>- Các bộ, cơ quan ngang bộ, cơ quan thuộc Chính phủ;</w:t>
            </w:r>
            <w:r w:rsidRPr="001F4B70">
              <w:rPr>
                <w:rFonts w:ascii="Arial" w:hAnsi="Arial" w:cs="Arial"/>
                <w:sz w:val="16"/>
              </w:rPr>
              <w:br/>
              <w:t xml:space="preserve">- HĐND, UBND các tỉnh, thành phố trực thuộc trung </w:t>
            </w:r>
            <w:r w:rsidRPr="001F4B70">
              <w:rPr>
                <w:rFonts w:ascii="Arial" w:hAnsi="Arial" w:cs="Arial"/>
                <w:sz w:val="16"/>
              </w:rPr>
              <w:lastRenderedPageBreak/>
              <w:t>ương;</w:t>
            </w:r>
            <w:r w:rsidRPr="001F4B70">
              <w:rPr>
                <w:rFonts w:ascii="Arial" w:hAnsi="Arial" w:cs="Arial"/>
                <w:sz w:val="16"/>
              </w:rPr>
              <w:br/>
              <w:t>- Văn phòng Trung ương và các Ban của Đảng;</w:t>
            </w:r>
            <w:r w:rsidRPr="001F4B70">
              <w:rPr>
                <w:rFonts w:ascii="Arial" w:hAnsi="Arial" w:cs="Arial"/>
                <w:sz w:val="16"/>
              </w:rPr>
              <w:br/>
              <w:t>- Văn phòng Tổng Bí thư;</w:t>
            </w:r>
            <w:r w:rsidRPr="001F4B70">
              <w:rPr>
                <w:rFonts w:ascii="Arial" w:hAnsi="Arial" w:cs="Arial"/>
                <w:sz w:val="16"/>
              </w:rPr>
              <w:br/>
              <w:t>- Văn phòng Chủ tịch nước;</w:t>
            </w:r>
            <w:r w:rsidRPr="001F4B70">
              <w:rPr>
                <w:rFonts w:ascii="Arial" w:hAnsi="Arial" w:cs="Arial"/>
                <w:sz w:val="16"/>
              </w:rPr>
              <w:br/>
              <w:t>- Hội đồng Dân tộc và các Ủy ban của Quốc hội;</w:t>
            </w:r>
            <w:r w:rsidRPr="001F4B70">
              <w:rPr>
                <w:rFonts w:ascii="Arial" w:hAnsi="Arial" w:cs="Arial"/>
                <w:sz w:val="16"/>
              </w:rPr>
              <w:br/>
              <w:t>- Văn phòng Quốc hội;</w:t>
            </w:r>
            <w:r w:rsidRPr="001F4B70">
              <w:rPr>
                <w:rFonts w:ascii="Arial" w:hAnsi="Arial" w:cs="Arial"/>
                <w:sz w:val="16"/>
              </w:rPr>
              <w:br/>
              <w:t>- Tòa án nhân dân tối cao;</w:t>
            </w:r>
            <w:r w:rsidRPr="001F4B70">
              <w:rPr>
                <w:rFonts w:ascii="Arial" w:hAnsi="Arial" w:cs="Arial"/>
                <w:sz w:val="16"/>
              </w:rPr>
              <w:br/>
              <w:t>- Viện kiểm sát nhân dân tối cao;</w:t>
            </w:r>
            <w:r w:rsidRPr="001F4B70">
              <w:rPr>
                <w:rFonts w:ascii="Arial" w:hAnsi="Arial" w:cs="Arial"/>
                <w:sz w:val="16"/>
              </w:rPr>
              <w:br/>
              <w:t>- Kiểm toán nhà nước;</w:t>
            </w:r>
            <w:r w:rsidRPr="001F4B70">
              <w:rPr>
                <w:rFonts w:ascii="Arial" w:hAnsi="Arial" w:cs="Arial"/>
                <w:sz w:val="16"/>
              </w:rPr>
              <w:br/>
              <w:t>- Ủy ban Giám sát tài chính Quốc gia;</w:t>
            </w:r>
            <w:r w:rsidRPr="001F4B70">
              <w:rPr>
                <w:rFonts w:ascii="Arial" w:hAnsi="Arial" w:cs="Arial"/>
                <w:sz w:val="16"/>
              </w:rPr>
              <w:br/>
              <w:t>- Ngân hàng Chính sách xã hội;</w:t>
            </w:r>
            <w:r w:rsidRPr="001F4B70">
              <w:rPr>
                <w:rFonts w:ascii="Arial" w:hAnsi="Arial" w:cs="Arial"/>
                <w:sz w:val="16"/>
              </w:rPr>
              <w:br/>
              <w:t>- Ngân hàng Phát triển Việt Nam;</w:t>
            </w:r>
            <w:r w:rsidRPr="001F4B70">
              <w:rPr>
                <w:rFonts w:ascii="Arial" w:hAnsi="Arial" w:cs="Arial"/>
                <w:sz w:val="16"/>
              </w:rPr>
              <w:br/>
              <w:t>- Ủy ban trung ương Mặt trận Tổ quốc Việt Nam;</w:t>
            </w:r>
            <w:r w:rsidRPr="001F4B70">
              <w:rPr>
                <w:rFonts w:ascii="Arial" w:hAnsi="Arial" w:cs="Arial"/>
                <w:sz w:val="16"/>
              </w:rPr>
              <w:br/>
              <w:t>- Cơ quan trung ương của các đoàn thể;</w:t>
            </w:r>
            <w:r w:rsidRPr="001F4B70">
              <w:rPr>
                <w:rFonts w:ascii="Arial" w:hAnsi="Arial" w:cs="Arial"/>
                <w:sz w:val="16"/>
              </w:rPr>
              <w:br/>
              <w:t>- VPCP: BTCN, các PCN, Trợ lý TTg, TGĐ Cổng TTĐT, các Vụ, Cục, đơn vị trực thuộc, Công báo;</w:t>
            </w:r>
            <w:r w:rsidRPr="001F4B70">
              <w:rPr>
                <w:rFonts w:ascii="Arial" w:hAnsi="Arial" w:cs="Arial"/>
                <w:sz w:val="16"/>
              </w:rPr>
              <w:br/>
              <w:t>- Lưu: VT, KTTH (2b).KN.</w:t>
            </w:r>
          </w:p>
        </w:tc>
        <w:tc>
          <w:tcPr>
            <w:tcW w:w="4428" w:type="dxa"/>
            <w:shd w:val="clear" w:color="auto" w:fill="auto"/>
          </w:tcPr>
          <w:p w:rsidR="00F43514" w:rsidRPr="001F4B70" w:rsidRDefault="00F43514" w:rsidP="001F4B70">
            <w:pPr>
              <w:spacing w:before="120"/>
              <w:jc w:val="center"/>
              <w:rPr>
                <w:rFonts w:ascii="Arial" w:hAnsi="Arial" w:cs="Arial"/>
                <w:b/>
                <w:sz w:val="20"/>
                <w:szCs w:val="20"/>
              </w:rPr>
            </w:pPr>
            <w:r w:rsidRPr="001F4B70">
              <w:rPr>
                <w:rFonts w:ascii="Arial" w:hAnsi="Arial" w:cs="Arial"/>
                <w:b/>
                <w:sz w:val="20"/>
                <w:szCs w:val="20"/>
              </w:rPr>
              <w:lastRenderedPageBreak/>
              <w:t>TM. CHÍNH PHỦ</w:t>
            </w:r>
            <w:r w:rsidRPr="001F4B70">
              <w:rPr>
                <w:rFonts w:ascii="Arial" w:hAnsi="Arial" w:cs="Arial"/>
                <w:b/>
                <w:sz w:val="20"/>
                <w:szCs w:val="20"/>
              </w:rPr>
              <w:br/>
              <w:t>THỦ TƯỚNG</w:t>
            </w:r>
            <w:r w:rsidRPr="001F4B70">
              <w:rPr>
                <w:rFonts w:ascii="Arial" w:hAnsi="Arial" w:cs="Arial"/>
                <w:b/>
                <w:sz w:val="20"/>
                <w:szCs w:val="20"/>
              </w:rPr>
              <w:br/>
            </w:r>
            <w:r w:rsidRPr="001F4B70">
              <w:rPr>
                <w:rFonts w:ascii="Arial" w:hAnsi="Arial" w:cs="Arial"/>
                <w:b/>
                <w:sz w:val="20"/>
                <w:szCs w:val="20"/>
              </w:rPr>
              <w:br/>
            </w:r>
            <w:r w:rsidRPr="001F4B70">
              <w:rPr>
                <w:rFonts w:ascii="Arial" w:hAnsi="Arial" w:cs="Arial"/>
                <w:b/>
                <w:sz w:val="20"/>
                <w:szCs w:val="20"/>
              </w:rPr>
              <w:br/>
            </w:r>
            <w:r w:rsidRPr="001F4B70">
              <w:rPr>
                <w:rFonts w:ascii="Arial" w:hAnsi="Arial" w:cs="Arial"/>
                <w:b/>
                <w:sz w:val="20"/>
                <w:szCs w:val="20"/>
              </w:rPr>
              <w:br/>
            </w:r>
            <w:r w:rsidRPr="001F4B70">
              <w:rPr>
                <w:rFonts w:ascii="Arial" w:hAnsi="Arial" w:cs="Arial"/>
                <w:b/>
                <w:sz w:val="20"/>
                <w:szCs w:val="20"/>
              </w:rPr>
              <w:lastRenderedPageBreak/>
              <w:br/>
              <w:t>Nguyễn Xuân Phúc</w:t>
            </w:r>
          </w:p>
        </w:tc>
      </w:tr>
    </w:tbl>
    <w:p w:rsidR="00324B51" w:rsidRDefault="00324B51" w:rsidP="004A01A4">
      <w:pPr>
        <w:tabs>
          <w:tab w:val="left" w:pos="4320"/>
        </w:tabs>
        <w:spacing w:before="120"/>
        <w:rPr>
          <w:rFonts w:ascii="Arial" w:hAnsi="Arial" w:cs="Arial"/>
          <w:sz w:val="20"/>
          <w:szCs w:val="20"/>
        </w:rPr>
      </w:pPr>
    </w:p>
    <w:p w:rsidR="007E75FE" w:rsidRDefault="007E75FE" w:rsidP="004A01A4">
      <w:pPr>
        <w:tabs>
          <w:tab w:val="left" w:pos="4320"/>
        </w:tabs>
        <w:spacing w:before="120"/>
        <w:rPr>
          <w:rFonts w:ascii="Arial" w:hAnsi="Arial" w:cs="Arial"/>
          <w:sz w:val="20"/>
          <w:szCs w:val="20"/>
        </w:rPr>
      </w:pPr>
    </w:p>
    <w:p w:rsidR="007E75FE" w:rsidRDefault="007E75FE" w:rsidP="004A01A4">
      <w:pPr>
        <w:tabs>
          <w:tab w:val="left" w:pos="4320"/>
        </w:tabs>
        <w:spacing w:before="120"/>
        <w:rPr>
          <w:rFonts w:ascii="Arial" w:hAnsi="Arial" w:cs="Arial"/>
          <w:sz w:val="20"/>
          <w:szCs w:val="20"/>
        </w:rPr>
      </w:pPr>
      <w:bookmarkStart w:id="0" w:name="_GoBack"/>
      <w:bookmarkEnd w:id="0"/>
    </w:p>
    <w:sectPr w:rsidR="007E75F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F7D"/>
    <w:rsid w:val="00033209"/>
    <w:rsid w:val="000333D1"/>
    <w:rsid w:val="00080EAF"/>
    <w:rsid w:val="00097175"/>
    <w:rsid w:val="0009730C"/>
    <w:rsid w:val="000B7464"/>
    <w:rsid w:val="00125626"/>
    <w:rsid w:val="001E3945"/>
    <w:rsid w:val="001F4747"/>
    <w:rsid w:val="001F4B70"/>
    <w:rsid w:val="0021669A"/>
    <w:rsid w:val="002166CC"/>
    <w:rsid w:val="002177EB"/>
    <w:rsid w:val="0022496A"/>
    <w:rsid w:val="00290EE7"/>
    <w:rsid w:val="00291F2D"/>
    <w:rsid w:val="002C2EC5"/>
    <w:rsid w:val="002E4AB9"/>
    <w:rsid w:val="002E5342"/>
    <w:rsid w:val="00324B51"/>
    <w:rsid w:val="00423885"/>
    <w:rsid w:val="00454B34"/>
    <w:rsid w:val="0045750E"/>
    <w:rsid w:val="00474717"/>
    <w:rsid w:val="00480E58"/>
    <w:rsid w:val="004A01A4"/>
    <w:rsid w:val="00531522"/>
    <w:rsid w:val="0053376C"/>
    <w:rsid w:val="005503B6"/>
    <w:rsid w:val="00577D28"/>
    <w:rsid w:val="005B0CEA"/>
    <w:rsid w:val="006D7D64"/>
    <w:rsid w:val="006E58B5"/>
    <w:rsid w:val="00790291"/>
    <w:rsid w:val="0079647D"/>
    <w:rsid w:val="007D1F7D"/>
    <w:rsid w:val="007E75FE"/>
    <w:rsid w:val="008073DF"/>
    <w:rsid w:val="00875E0F"/>
    <w:rsid w:val="008B4E6E"/>
    <w:rsid w:val="008C3445"/>
    <w:rsid w:val="009471EA"/>
    <w:rsid w:val="009557FD"/>
    <w:rsid w:val="00965E13"/>
    <w:rsid w:val="00AC59AC"/>
    <w:rsid w:val="00AD4189"/>
    <w:rsid w:val="00B336E5"/>
    <w:rsid w:val="00B91F91"/>
    <w:rsid w:val="00BD400A"/>
    <w:rsid w:val="00C366C7"/>
    <w:rsid w:val="00C93D8C"/>
    <w:rsid w:val="00C95D61"/>
    <w:rsid w:val="00C9633B"/>
    <w:rsid w:val="00CB0AE0"/>
    <w:rsid w:val="00CB12DF"/>
    <w:rsid w:val="00D17DD6"/>
    <w:rsid w:val="00D40CCE"/>
    <w:rsid w:val="00E075E0"/>
    <w:rsid w:val="00E52141"/>
    <w:rsid w:val="00E674DF"/>
    <w:rsid w:val="00E762C0"/>
    <w:rsid w:val="00EF327D"/>
    <w:rsid w:val="00F00FA5"/>
    <w:rsid w:val="00F0166C"/>
    <w:rsid w:val="00F0424B"/>
    <w:rsid w:val="00F43514"/>
    <w:rsid w:val="00F535E8"/>
    <w:rsid w:val="00FE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C7DBB2-62E8-43D7-A5E2-CF447D122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7D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C95D61"/>
    <w:rPr>
      <w:rFonts w:ascii="TimesNewRomanPSMT" w:hAnsi="TimesNewRomanPSMT" w:hint="default"/>
      <w:b w:val="0"/>
      <w:bCs w:val="0"/>
      <w:i w:val="0"/>
      <w:iCs w:val="0"/>
      <w:color w:val="000000"/>
      <w:sz w:val="22"/>
      <w:szCs w:val="22"/>
    </w:rPr>
  </w:style>
  <w:style w:type="character" w:customStyle="1" w:styleId="fontstyle11">
    <w:name w:val="fontstyle11"/>
    <w:rsid w:val="00C95D61"/>
    <w:rPr>
      <w:rFonts w:ascii="Times New Roman" w:hAnsi="Times New Roman" w:cs="Times New Roman" w:hint="default"/>
      <w:b w:val="0"/>
      <w:bCs w:val="0"/>
      <w:i w:val="0"/>
      <w:iCs w:val="0"/>
      <w:color w:val="000000"/>
      <w:sz w:val="22"/>
      <w:szCs w:val="22"/>
    </w:rPr>
  </w:style>
  <w:style w:type="character" w:customStyle="1" w:styleId="fontstyle31">
    <w:name w:val="fontstyle31"/>
    <w:rsid w:val="00C95D61"/>
    <w:rPr>
      <w:rFonts w:ascii="TimesNewRomanPS-ItalicMT" w:hAnsi="TimesNewRomanPS-ItalicMT" w:hint="default"/>
      <w:b w:val="0"/>
      <w:bCs w:val="0"/>
      <w:i/>
      <w:iCs/>
      <w:color w:val="000000"/>
      <w:sz w:val="22"/>
      <w:szCs w:val="22"/>
    </w:rPr>
  </w:style>
  <w:style w:type="paragraph" w:customStyle="1" w:styleId="DefaultParagraphFontParaCharCharCharCharChar">
    <w:name w:val="Default Paragraph Font Para Char Char Char Char Char"/>
    <w:autoRedefine/>
    <w:rsid w:val="00F43514"/>
    <w:pPr>
      <w:tabs>
        <w:tab w:val="left" w:pos="1152"/>
      </w:tabs>
      <w:spacing w:before="120" w:after="120" w:line="312" w:lineRule="auto"/>
    </w:pPr>
    <w:rPr>
      <w:rFonts w:ascii="Arial" w:hAnsi="Arial" w:cs="Arial"/>
      <w:sz w:val="26"/>
      <w:szCs w:val="26"/>
    </w:rPr>
  </w:style>
  <w:style w:type="paragraph" w:customStyle="1" w:styleId="Char">
    <w:name w:val="Char"/>
    <w:basedOn w:val="Normal"/>
    <w:autoRedefine/>
    <w:rsid w:val="007E75FE"/>
    <w:pPr>
      <w:spacing w:after="160" w:line="240" w:lineRule="exact"/>
    </w:pPr>
    <w:rPr>
      <w:rFonts w:ascii="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829</Words>
  <Characters>4730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Mã hàng</vt:lpstr>
    </vt:vector>
  </TitlesOfParts>
  <Company>HOME</Company>
  <LinksUpToDate>false</LinksUpToDate>
  <CharactersWithSpaces>5548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Mã hàng</dc:title>
  <dc:subject/>
  <dc:creator>User</dc:creator>
  <cp:keywords/>
  <dc:description/>
  <cp:lastModifiedBy>Windows User</cp:lastModifiedBy>
  <cp:revision>3</cp:revision>
  <dcterms:created xsi:type="dcterms:W3CDTF">2018-02-02T02:43:00Z</dcterms:created>
  <dcterms:modified xsi:type="dcterms:W3CDTF">2018-02-02T02:44:00Z</dcterms:modified>
</cp:coreProperties>
</file>