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5D" w:rsidRDefault="0078575D" w:rsidP="0078575D">
      <w:r w:rsidRPr="0078575D">
        <w:rPr>
          <w:b/>
        </w:rPr>
        <w:t xml:space="preserve">Hướng dẫn cách tính khấu hao tài sản cố định </w:t>
      </w:r>
      <w:proofErr w:type="gramStart"/>
      <w:r w:rsidRPr="0078575D">
        <w:rPr>
          <w:b/>
        </w:rPr>
        <w:t>theo</w:t>
      </w:r>
      <w:proofErr w:type="gramEnd"/>
      <w:r w:rsidRPr="0078575D">
        <w:rPr>
          <w:b/>
        </w:rPr>
        <w:t xml:space="preserve"> phương pháp số dư giảm dần có điều chỉnh</w:t>
      </w:r>
      <w:r>
        <w:t xml:space="preserve"> theo thông tư mới nhất năm 2013 </w:t>
      </w:r>
    </w:p>
    <w:p w:rsidR="0078575D" w:rsidRDefault="0078575D" w:rsidP="0078575D">
      <w:r>
        <w:t>1. Nội dung của phương pháp:</w:t>
      </w:r>
    </w:p>
    <w:p w:rsidR="0078575D" w:rsidRDefault="0078575D" w:rsidP="0078575D">
      <w:r>
        <w:t xml:space="preserve"> Mức trích khấu hao tài sản cố định </w:t>
      </w:r>
      <w:proofErr w:type="gramStart"/>
      <w:r>
        <w:t>theo</w:t>
      </w:r>
      <w:proofErr w:type="gramEnd"/>
      <w:r>
        <w:t xml:space="preserve"> phương pháp số dư giảm dần có điều chỉnh được xác định như: - Xác định thời gian khấu hao của tài sản cố định:</w:t>
      </w:r>
    </w:p>
    <w:p w:rsidR="0078575D" w:rsidRDefault="0078575D" w:rsidP="0078575D">
      <w:r>
        <w:t xml:space="preserve"> Doanh nghiệp xác định thời gian khấu hao của tài sản cố định </w:t>
      </w:r>
      <w:proofErr w:type="gramStart"/>
      <w:r>
        <w:t>theo</w:t>
      </w:r>
      <w:proofErr w:type="gramEnd"/>
      <w:r>
        <w:t xml:space="preserve"> quy định tại Thông tư số 45 /2013/TT-BTC của Bộ Tài chính.</w:t>
      </w:r>
    </w:p>
    <w:p w:rsidR="0078575D" w:rsidRDefault="0078575D" w:rsidP="0078575D">
      <w:r>
        <w:t xml:space="preserve"> - Xác định mức trích khấu hao năm của tài sản cố định trong các năm đầu </w:t>
      </w:r>
      <w:proofErr w:type="gramStart"/>
      <w:r>
        <w:t>theo</w:t>
      </w:r>
      <w:proofErr w:type="gramEnd"/>
      <w:r>
        <w:t xml:space="preserve"> công thức dưới đây: </w:t>
      </w:r>
    </w:p>
    <w:tbl>
      <w:tblPr>
        <w:tblStyle w:val="TableGrid"/>
        <w:tblW w:w="0" w:type="auto"/>
        <w:tblLook w:val="04A0" w:firstRow="1" w:lastRow="0" w:firstColumn="1" w:lastColumn="0" w:noHBand="0" w:noVBand="1"/>
      </w:tblPr>
      <w:tblGrid>
        <w:gridCol w:w="2605"/>
        <w:gridCol w:w="810"/>
        <w:gridCol w:w="2610"/>
        <w:gridCol w:w="720"/>
        <w:gridCol w:w="2605"/>
      </w:tblGrid>
      <w:tr w:rsidR="0078575D" w:rsidTr="00A46F77">
        <w:tc>
          <w:tcPr>
            <w:tcW w:w="2605" w:type="dxa"/>
          </w:tcPr>
          <w:p w:rsidR="0078575D" w:rsidRDefault="0078575D" w:rsidP="00A46F77">
            <w:pPr>
              <w:jc w:val="center"/>
            </w:pPr>
            <w:r>
              <w:t>Mức trích khấu hao hàng năm của tài sản cố định</w:t>
            </w:r>
          </w:p>
        </w:tc>
        <w:tc>
          <w:tcPr>
            <w:tcW w:w="810" w:type="dxa"/>
          </w:tcPr>
          <w:p w:rsidR="0078575D" w:rsidRDefault="0078575D" w:rsidP="00A46F77">
            <w:pPr>
              <w:jc w:val="center"/>
            </w:pPr>
            <w:r>
              <w:t>=</w:t>
            </w:r>
          </w:p>
        </w:tc>
        <w:tc>
          <w:tcPr>
            <w:tcW w:w="2610" w:type="dxa"/>
          </w:tcPr>
          <w:p w:rsidR="0078575D" w:rsidRDefault="0078575D" w:rsidP="00A46F77">
            <w:pPr>
              <w:jc w:val="center"/>
            </w:pPr>
            <w:r>
              <w:t>Giá trị còn lại của tài sản cố định</w:t>
            </w:r>
          </w:p>
        </w:tc>
        <w:tc>
          <w:tcPr>
            <w:tcW w:w="720" w:type="dxa"/>
          </w:tcPr>
          <w:p w:rsidR="0078575D" w:rsidRDefault="0078575D" w:rsidP="00A46F77">
            <w:pPr>
              <w:jc w:val="center"/>
            </w:pPr>
            <w:r>
              <w:t>x</w:t>
            </w:r>
          </w:p>
        </w:tc>
        <w:tc>
          <w:tcPr>
            <w:tcW w:w="2605" w:type="dxa"/>
          </w:tcPr>
          <w:p w:rsidR="0078575D" w:rsidRDefault="0078575D" w:rsidP="00A46F77">
            <w:pPr>
              <w:jc w:val="center"/>
            </w:pPr>
            <w:r>
              <w:t>Tỷ lệ khấu hao nhanh</w:t>
            </w:r>
          </w:p>
        </w:tc>
      </w:tr>
    </w:tbl>
    <w:p w:rsidR="0078575D" w:rsidRDefault="0078575D" w:rsidP="0078575D">
      <w:r>
        <w:t>Trong đó:</w:t>
      </w:r>
    </w:p>
    <w:p w:rsidR="0078575D" w:rsidRDefault="0078575D" w:rsidP="0078575D">
      <w:r>
        <w:t xml:space="preserve"> Tỷ lệ khấu hao nhanh xác định </w:t>
      </w:r>
      <w:proofErr w:type="gramStart"/>
      <w:r>
        <w:t>theo</w:t>
      </w:r>
      <w:proofErr w:type="gramEnd"/>
      <w:r>
        <w:t xml:space="preserve"> công thức sau:</w:t>
      </w:r>
    </w:p>
    <w:tbl>
      <w:tblPr>
        <w:tblStyle w:val="TableGrid"/>
        <w:tblW w:w="0" w:type="auto"/>
        <w:tblLook w:val="04A0" w:firstRow="1" w:lastRow="0" w:firstColumn="1" w:lastColumn="0" w:noHBand="0" w:noVBand="1"/>
      </w:tblPr>
      <w:tblGrid>
        <w:gridCol w:w="2695"/>
        <w:gridCol w:w="450"/>
        <w:gridCol w:w="3870"/>
        <w:gridCol w:w="465"/>
        <w:gridCol w:w="1870"/>
      </w:tblGrid>
      <w:tr w:rsidR="00A46F77" w:rsidTr="00A46F77">
        <w:tc>
          <w:tcPr>
            <w:tcW w:w="2695" w:type="dxa"/>
          </w:tcPr>
          <w:p w:rsidR="00A46F77" w:rsidRDefault="00A46F77" w:rsidP="00A46F77">
            <w:pPr>
              <w:jc w:val="center"/>
            </w:pPr>
            <w:r>
              <w:t>Tỷ lệ khấu khao nhanh (%)</w:t>
            </w:r>
          </w:p>
          <w:p w:rsidR="00A46F77" w:rsidRDefault="00A46F77" w:rsidP="00A46F77">
            <w:pPr>
              <w:jc w:val="center"/>
            </w:pPr>
          </w:p>
        </w:tc>
        <w:tc>
          <w:tcPr>
            <w:tcW w:w="450" w:type="dxa"/>
          </w:tcPr>
          <w:p w:rsidR="00A46F77" w:rsidRDefault="00A46F77" w:rsidP="00A46F77">
            <w:pPr>
              <w:jc w:val="center"/>
            </w:pPr>
            <w:r>
              <w:t>=</w:t>
            </w:r>
          </w:p>
        </w:tc>
        <w:tc>
          <w:tcPr>
            <w:tcW w:w="3870" w:type="dxa"/>
          </w:tcPr>
          <w:p w:rsidR="00A46F77" w:rsidRDefault="00A46F77" w:rsidP="00A46F77">
            <w:pPr>
              <w:jc w:val="center"/>
            </w:pPr>
            <w:r>
              <w:t>Tỷ lệ khấu hao tài sản cố định theo phương pháp đường thẳng</w:t>
            </w:r>
          </w:p>
        </w:tc>
        <w:tc>
          <w:tcPr>
            <w:tcW w:w="465" w:type="dxa"/>
          </w:tcPr>
          <w:p w:rsidR="00A46F77" w:rsidRDefault="00A46F77" w:rsidP="00A46F77">
            <w:pPr>
              <w:jc w:val="center"/>
            </w:pPr>
            <w:r>
              <w:t>x</w:t>
            </w:r>
          </w:p>
        </w:tc>
        <w:tc>
          <w:tcPr>
            <w:tcW w:w="1870" w:type="dxa"/>
          </w:tcPr>
          <w:p w:rsidR="00A46F77" w:rsidRDefault="00A46F77" w:rsidP="00A46F77">
            <w:pPr>
              <w:jc w:val="center"/>
            </w:pPr>
            <w:r>
              <w:t>Hệ số điều chỉnh</w:t>
            </w:r>
          </w:p>
          <w:p w:rsidR="00A46F77" w:rsidRDefault="00A46F77" w:rsidP="00A46F77">
            <w:pPr>
              <w:jc w:val="center"/>
            </w:pPr>
          </w:p>
        </w:tc>
      </w:tr>
    </w:tbl>
    <w:p w:rsidR="00A46F77" w:rsidRDefault="00A46F77" w:rsidP="0078575D"/>
    <w:p w:rsidR="0078575D" w:rsidRDefault="0078575D" w:rsidP="0078575D">
      <w:r>
        <w:t xml:space="preserve">Tỷ lệ khấu hao tài sản cố định </w:t>
      </w:r>
      <w:proofErr w:type="gramStart"/>
      <w:r>
        <w:t>theo</w:t>
      </w:r>
      <w:proofErr w:type="gramEnd"/>
      <w:r>
        <w:t xml:space="preserve"> phương pháp đường thẳng xác định như sau:</w:t>
      </w:r>
    </w:p>
    <w:p w:rsidR="00A46F77" w:rsidRDefault="0078575D" w:rsidP="0078575D">
      <w:r>
        <w:t xml:space="preserve"> </w:t>
      </w:r>
    </w:p>
    <w:tbl>
      <w:tblPr>
        <w:tblStyle w:val="TableGrid"/>
        <w:tblW w:w="0" w:type="auto"/>
        <w:tblLook w:val="04A0" w:firstRow="1" w:lastRow="0" w:firstColumn="1" w:lastColumn="0" w:noHBand="0" w:noVBand="1"/>
      </w:tblPr>
      <w:tblGrid>
        <w:gridCol w:w="2335"/>
        <w:gridCol w:w="750"/>
        <w:gridCol w:w="4288"/>
        <w:gridCol w:w="1977"/>
      </w:tblGrid>
      <w:tr w:rsidR="00A46F77" w:rsidTr="00A46F77">
        <w:tc>
          <w:tcPr>
            <w:tcW w:w="2335" w:type="dxa"/>
          </w:tcPr>
          <w:p w:rsidR="00A46F77" w:rsidRDefault="00A46F77" w:rsidP="00A46F77">
            <w:r>
              <w:t>Tỷ lệ khấu hao tài sản cố định theo phương pháp đường thẳng (%)</w:t>
            </w:r>
          </w:p>
          <w:p w:rsidR="00A46F77" w:rsidRDefault="00A46F77" w:rsidP="0078575D"/>
        </w:tc>
        <w:tc>
          <w:tcPr>
            <w:tcW w:w="750" w:type="dxa"/>
          </w:tcPr>
          <w:p w:rsidR="00A46F77" w:rsidRDefault="00A46F77" w:rsidP="0078575D">
            <w:r>
              <w:t>=</w:t>
            </w:r>
          </w:p>
        </w:tc>
        <w:tc>
          <w:tcPr>
            <w:tcW w:w="4288" w:type="dxa"/>
          </w:tcPr>
          <w:p w:rsidR="00A46F77" w:rsidRDefault="00A46F77" w:rsidP="0078575D">
            <m:oMathPara>
              <m:oMath>
                <m:f>
                  <m:fPr>
                    <m:ctrlPr>
                      <w:rPr>
                        <w:rFonts w:ascii="Cambria Math" w:hAnsi="Cambria Math"/>
                        <w:i/>
                      </w:rPr>
                    </m:ctrlPr>
                  </m:fPr>
                  <m:num>
                    <m:r>
                      <w:rPr>
                        <w:rFonts w:ascii="Cambria Math" w:hAnsi="Cambria Math"/>
                      </w:rPr>
                      <m:t>1</m:t>
                    </m:r>
                  </m:num>
                  <m:den>
                    <m:r>
                      <m:rPr>
                        <m:sty m:val="p"/>
                      </m:rPr>
                      <w:rPr>
                        <w:rFonts w:ascii="Cambria Math" w:hAnsi="Cambria Math"/>
                      </w:rPr>
                      <m:t>Thời gian trích khấu hao của tài sản cố định</m:t>
                    </m:r>
                  </m:den>
                </m:f>
              </m:oMath>
            </m:oMathPara>
          </w:p>
        </w:tc>
        <w:tc>
          <w:tcPr>
            <w:tcW w:w="1977" w:type="dxa"/>
          </w:tcPr>
          <w:p w:rsidR="00A46F77" w:rsidRPr="002066A5" w:rsidRDefault="00A46F77" w:rsidP="0078575D">
            <w:pPr>
              <w:rPr>
                <w:rFonts w:ascii="Calibri" w:eastAsia="Calibri" w:hAnsi="Calibri" w:cs="Times New Roman"/>
              </w:rPr>
            </w:pPr>
            <w:r>
              <w:rPr>
                <w:rFonts w:ascii="Calibri" w:eastAsia="Calibri" w:hAnsi="Calibri" w:cs="Times New Roman"/>
              </w:rPr>
              <w:t>X 100</w:t>
            </w:r>
          </w:p>
        </w:tc>
      </w:tr>
    </w:tbl>
    <w:p w:rsidR="0078575D" w:rsidRDefault="0078575D" w:rsidP="0078575D"/>
    <w:p w:rsidR="0078575D" w:rsidRDefault="0078575D" w:rsidP="0078575D">
      <w:r>
        <w:t xml:space="preserve">Hệ số điều chỉnh xác định </w:t>
      </w:r>
      <w:proofErr w:type="gramStart"/>
      <w:r>
        <w:t>theo</w:t>
      </w:r>
      <w:proofErr w:type="gramEnd"/>
      <w:r>
        <w:t xml:space="preserve"> thời gian trích khấu hao của tài sản cố định quy định tại bảng dưới đây:</w:t>
      </w:r>
    </w:p>
    <w:p w:rsidR="00A46F77" w:rsidRDefault="0078575D" w:rsidP="00A46F77">
      <w:r>
        <w:t xml:space="preserve"> </w:t>
      </w:r>
      <w:r w:rsidR="00A46F77">
        <w:t>Thời gian trích khấu hao của tài sản cố định</w:t>
      </w:r>
    </w:p>
    <w:tbl>
      <w:tblPr>
        <w:tblStyle w:val="TableGrid"/>
        <w:tblW w:w="0" w:type="auto"/>
        <w:tblLook w:val="04A0" w:firstRow="1" w:lastRow="0" w:firstColumn="1" w:lastColumn="0" w:noHBand="0" w:noVBand="1"/>
      </w:tblPr>
      <w:tblGrid>
        <w:gridCol w:w="4675"/>
        <w:gridCol w:w="4675"/>
      </w:tblGrid>
      <w:tr w:rsidR="00A46F77" w:rsidTr="00A46F77">
        <w:tc>
          <w:tcPr>
            <w:tcW w:w="4675" w:type="dxa"/>
          </w:tcPr>
          <w:p w:rsidR="00A46F77" w:rsidRDefault="00A46F77" w:rsidP="00A46F77">
            <w:r>
              <w:t>Thời gian trích khấu hao của tài sản cố định</w:t>
            </w:r>
          </w:p>
          <w:p w:rsidR="00A46F77" w:rsidRDefault="00A46F77" w:rsidP="00A46F77"/>
        </w:tc>
        <w:tc>
          <w:tcPr>
            <w:tcW w:w="4675" w:type="dxa"/>
          </w:tcPr>
          <w:p w:rsidR="00A46F77" w:rsidRDefault="00A46F77" w:rsidP="00A46F77">
            <w:r>
              <w:t>Hệ số điều chỉnh (lần)</w:t>
            </w:r>
          </w:p>
        </w:tc>
      </w:tr>
      <w:tr w:rsidR="00A46F77" w:rsidTr="00A46F77">
        <w:tc>
          <w:tcPr>
            <w:tcW w:w="4675" w:type="dxa"/>
          </w:tcPr>
          <w:p w:rsidR="00A46F77" w:rsidRDefault="00A46F77" w:rsidP="00A46F77">
            <w:r>
              <w:t>Đến 4 năm ( t &lt;4 năm)</w:t>
            </w:r>
          </w:p>
        </w:tc>
        <w:tc>
          <w:tcPr>
            <w:tcW w:w="4675" w:type="dxa"/>
          </w:tcPr>
          <w:p w:rsidR="00A46F77" w:rsidRDefault="00A46F77" w:rsidP="00A46F77">
            <w:r>
              <w:t>1,5</w:t>
            </w:r>
          </w:p>
        </w:tc>
      </w:tr>
      <w:tr w:rsidR="00A46F77" w:rsidTr="00A46F77">
        <w:tc>
          <w:tcPr>
            <w:tcW w:w="4675" w:type="dxa"/>
          </w:tcPr>
          <w:p w:rsidR="00A46F77" w:rsidRDefault="00A46F77" w:rsidP="00A46F77">
            <w:r>
              <w:t>Trên 4 đến 6 năm (4 năm &lt; t &lt; 6 năm)</w:t>
            </w:r>
          </w:p>
        </w:tc>
        <w:tc>
          <w:tcPr>
            <w:tcW w:w="4675" w:type="dxa"/>
          </w:tcPr>
          <w:p w:rsidR="00A46F77" w:rsidRDefault="00A46F77" w:rsidP="00A46F77">
            <w:r>
              <w:t>2,0</w:t>
            </w:r>
          </w:p>
        </w:tc>
      </w:tr>
      <w:tr w:rsidR="00A46F77" w:rsidTr="00A46F77">
        <w:tc>
          <w:tcPr>
            <w:tcW w:w="4675" w:type="dxa"/>
          </w:tcPr>
          <w:p w:rsidR="00A46F77" w:rsidRDefault="00A46F77" w:rsidP="00A46F77">
            <w:r>
              <w:t>Trên 6 năm</w:t>
            </w:r>
          </w:p>
        </w:tc>
        <w:tc>
          <w:tcPr>
            <w:tcW w:w="4675" w:type="dxa"/>
          </w:tcPr>
          <w:p w:rsidR="00A46F77" w:rsidRDefault="00A46F77" w:rsidP="00A46F77">
            <w:r>
              <w:t>2,5</w:t>
            </w:r>
          </w:p>
        </w:tc>
      </w:tr>
    </w:tbl>
    <w:p w:rsidR="0078575D" w:rsidRDefault="0078575D" w:rsidP="00A46F77"/>
    <w:p w:rsidR="00A46F77" w:rsidRDefault="0078575D" w:rsidP="0078575D">
      <w:proofErr w:type="gramStart"/>
      <w:r>
        <w:t>Những năm cuối, khi mức khấu hao năm xác định theo phương pháp số dư giảm dần nói trên bằng (hoặc thấp hơn) mức khấu hao tính bình quân giữa giá trị còn lại và số năm sử dụng còn lại của tài sản cố định, thì kể từ năm đó mức khấu hao được tính bằng giá trị còn lại của tài sản cố định chia cho số năm sử dụng còn lại của tài sản cố định.</w:t>
      </w:r>
      <w:proofErr w:type="gramEnd"/>
      <w:r>
        <w:t xml:space="preserve"> </w:t>
      </w:r>
    </w:p>
    <w:p w:rsidR="00C31226" w:rsidRDefault="0078575D" w:rsidP="0078575D">
      <w:r>
        <w:t xml:space="preserve">- Mức trích khấu hao hàng tháng bằng số khấu hao phải trích cả năm chia cho 12 tháng. </w:t>
      </w:r>
    </w:p>
    <w:p w:rsidR="00C31226" w:rsidRDefault="0078575D" w:rsidP="0078575D">
      <w:r>
        <w:t xml:space="preserve">2. Ví dụ tính và trích khấu hao tài sản cố định: </w:t>
      </w:r>
    </w:p>
    <w:p w:rsidR="0078575D" w:rsidRDefault="0078575D" w:rsidP="0078575D">
      <w:r>
        <w:lastRenderedPageBreak/>
        <w:t xml:space="preserve">Ví dụ: Công ty </w:t>
      </w:r>
      <w:proofErr w:type="gramStart"/>
      <w:r>
        <w:t>A</w:t>
      </w:r>
      <w:proofErr w:type="gramEnd"/>
      <w:r>
        <w:t xml:space="preserve"> mua một thiết bị sản xuất các linh kiện điện tử mới với nguyên giá là 50 triệu đồng. Thời gian trích khấu hao của tài sản cố định xác định </w:t>
      </w:r>
      <w:proofErr w:type="gramStart"/>
      <w:r>
        <w:t>theo</w:t>
      </w:r>
      <w:proofErr w:type="gramEnd"/>
      <w:r>
        <w:t xml:space="preserve"> quy định tại Phụ lục 1 (ban hành kèm theo Thông tư số     /2013/TT-BTC) là 5 năm. Xác định mức khấu hao hàng năm như sau:</w:t>
      </w:r>
    </w:p>
    <w:p w:rsidR="0078575D" w:rsidRDefault="0078575D" w:rsidP="0078575D">
      <w:r>
        <w:t xml:space="preserve"> - Tỷ lệ khấu hao hàng năm của tài sản cố định </w:t>
      </w:r>
      <w:proofErr w:type="gramStart"/>
      <w:r>
        <w:t>theo</w:t>
      </w:r>
      <w:proofErr w:type="gramEnd"/>
      <w:r>
        <w:t xml:space="preserve"> phương pháp khấu hao đường thẳng là 20%.</w:t>
      </w:r>
    </w:p>
    <w:p w:rsidR="00C31226" w:rsidRDefault="0078575D" w:rsidP="0078575D">
      <w:r>
        <w:t xml:space="preserve"> - Tỷ lệ khấu hao nhanh </w:t>
      </w:r>
      <w:proofErr w:type="gramStart"/>
      <w:r>
        <w:t>theo</w:t>
      </w:r>
      <w:proofErr w:type="gramEnd"/>
      <w:r>
        <w:t xml:space="preserve"> phương pháp số dư giảm dần bằng 20% x 2 (hệ số điều chỉnh) = 40%</w:t>
      </w:r>
    </w:p>
    <w:p w:rsidR="00C31226" w:rsidRDefault="0078575D" w:rsidP="0078575D">
      <w:r>
        <w:t xml:space="preserve"> - Mức trích khấu hao hàng năm của tài sản cố định trên được xác định cụ thể </w:t>
      </w:r>
      <w:proofErr w:type="gramStart"/>
      <w:r>
        <w:t>theo</w:t>
      </w:r>
      <w:proofErr w:type="gramEnd"/>
      <w:r>
        <w:t xml:space="preserve"> bảng dưới đây: </w:t>
      </w:r>
    </w:p>
    <w:p w:rsidR="0078575D" w:rsidRDefault="0078575D" w:rsidP="0078575D">
      <w:r>
        <w:t>Đơn vị tính: Đồng</w:t>
      </w:r>
    </w:p>
    <w:tbl>
      <w:tblPr>
        <w:tblStyle w:val="TableGrid"/>
        <w:tblW w:w="0" w:type="auto"/>
        <w:tblLook w:val="04A0" w:firstRow="1" w:lastRow="0" w:firstColumn="1" w:lastColumn="0" w:noHBand="0" w:noVBand="1"/>
      </w:tblPr>
      <w:tblGrid>
        <w:gridCol w:w="640"/>
        <w:gridCol w:w="1515"/>
        <w:gridCol w:w="2583"/>
        <w:gridCol w:w="1536"/>
        <w:gridCol w:w="1539"/>
        <w:gridCol w:w="1537"/>
      </w:tblGrid>
      <w:tr w:rsidR="00C31226" w:rsidTr="00C31226">
        <w:tc>
          <w:tcPr>
            <w:tcW w:w="640" w:type="dxa"/>
          </w:tcPr>
          <w:p w:rsidR="00C31226" w:rsidRDefault="00C31226" w:rsidP="0078575D">
            <w:r>
              <w:t>Năm thứ</w:t>
            </w:r>
          </w:p>
        </w:tc>
        <w:tc>
          <w:tcPr>
            <w:tcW w:w="1515" w:type="dxa"/>
          </w:tcPr>
          <w:p w:rsidR="00C31226" w:rsidRDefault="00C31226" w:rsidP="0078575D">
            <w:r>
              <w:t>Giá trị còn lại của TSCĐ</w:t>
            </w:r>
          </w:p>
        </w:tc>
        <w:tc>
          <w:tcPr>
            <w:tcW w:w="2583" w:type="dxa"/>
          </w:tcPr>
          <w:p w:rsidR="00C31226" w:rsidRDefault="00C31226" w:rsidP="00C31226"/>
          <w:p w:rsidR="00C31226" w:rsidRDefault="00C31226" w:rsidP="00C31226">
            <w:r>
              <w:t>Cách tính số khấu hao TSCĐ</w:t>
            </w:r>
            <w:r>
              <w:t xml:space="preserve"> </w:t>
            </w:r>
            <w:r>
              <w:t>hàng năm</w:t>
            </w:r>
          </w:p>
        </w:tc>
        <w:tc>
          <w:tcPr>
            <w:tcW w:w="1536" w:type="dxa"/>
          </w:tcPr>
          <w:p w:rsidR="00C31226" w:rsidRDefault="00C31226" w:rsidP="0078575D">
            <w:r>
              <w:t>Mức khấu hao hàng năm</w:t>
            </w:r>
          </w:p>
        </w:tc>
        <w:tc>
          <w:tcPr>
            <w:tcW w:w="1539" w:type="dxa"/>
          </w:tcPr>
          <w:p w:rsidR="00C31226" w:rsidRDefault="00C31226" w:rsidP="0078575D">
            <w:r>
              <w:t>Mức khấu hao hàng tháng</w:t>
            </w:r>
          </w:p>
        </w:tc>
        <w:tc>
          <w:tcPr>
            <w:tcW w:w="1537" w:type="dxa"/>
          </w:tcPr>
          <w:p w:rsidR="00C31226" w:rsidRDefault="00C31226" w:rsidP="0078575D">
            <w:r>
              <w:t>Khấu hao luỹ kế cuối năm</w:t>
            </w:r>
          </w:p>
        </w:tc>
      </w:tr>
      <w:tr w:rsidR="00C31226" w:rsidTr="00C31226">
        <w:tc>
          <w:tcPr>
            <w:tcW w:w="640" w:type="dxa"/>
          </w:tcPr>
          <w:p w:rsidR="00C31226" w:rsidRDefault="00C31226" w:rsidP="0078575D">
            <w:r>
              <w:t>1</w:t>
            </w:r>
          </w:p>
        </w:tc>
        <w:tc>
          <w:tcPr>
            <w:tcW w:w="1515" w:type="dxa"/>
          </w:tcPr>
          <w:p w:rsidR="00C31226" w:rsidRDefault="00C31226" w:rsidP="0078575D">
            <w:r>
              <w:t>50.000.000</w:t>
            </w:r>
          </w:p>
        </w:tc>
        <w:tc>
          <w:tcPr>
            <w:tcW w:w="2583" w:type="dxa"/>
          </w:tcPr>
          <w:p w:rsidR="00C31226" w:rsidRDefault="00C31226" w:rsidP="0078575D">
            <w:r>
              <w:t>50.000.000 x 40%</w:t>
            </w:r>
          </w:p>
        </w:tc>
        <w:tc>
          <w:tcPr>
            <w:tcW w:w="1536" w:type="dxa"/>
          </w:tcPr>
          <w:p w:rsidR="00C31226" w:rsidRDefault="00C31226" w:rsidP="0078575D">
            <w:r>
              <w:t>20.000.000</w:t>
            </w:r>
          </w:p>
        </w:tc>
        <w:tc>
          <w:tcPr>
            <w:tcW w:w="1539" w:type="dxa"/>
          </w:tcPr>
          <w:p w:rsidR="00C31226" w:rsidRDefault="00C31226" w:rsidP="0078575D">
            <w:r>
              <w:t>1.666.666</w:t>
            </w:r>
          </w:p>
        </w:tc>
        <w:tc>
          <w:tcPr>
            <w:tcW w:w="1537" w:type="dxa"/>
          </w:tcPr>
          <w:p w:rsidR="00C31226" w:rsidRDefault="00C31226" w:rsidP="0078575D">
            <w:r>
              <w:t>20.000.000</w:t>
            </w:r>
          </w:p>
        </w:tc>
      </w:tr>
      <w:tr w:rsidR="00C31226" w:rsidTr="00C31226">
        <w:tc>
          <w:tcPr>
            <w:tcW w:w="640" w:type="dxa"/>
          </w:tcPr>
          <w:p w:rsidR="00C31226" w:rsidRDefault="00C31226" w:rsidP="0078575D">
            <w:r>
              <w:t>2</w:t>
            </w:r>
          </w:p>
        </w:tc>
        <w:tc>
          <w:tcPr>
            <w:tcW w:w="1515" w:type="dxa"/>
          </w:tcPr>
          <w:p w:rsidR="00C31226" w:rsidRDefault="00C31226" w:rsidP="0078575D">
            <w:r>
              <w:t>30.000.000</w:t>
            </w:r>
          </w:p>
        </w:tc>
        <w:tc>
          <w:tcPr>
            <w:tcW w:w="2583" w:type="dxa"/>
          </w:tcPr>
          <w:p w:rsidR="00C31226" w:rsidRDefault="00C31226" w:rsidP="0078575D">
            <w:r>
              <w:t>30.000.000 x 40%</w:t>
            </w:r>
          </w:p>
        </w:tc>
        <w:tc>
          <w:tcPr>
            <w:tcW w:w="1536" w:type="dxa"/>
          </w:tcPr>
          <w:p w:rsidR="00C31226" w:rsidRDefault="00C31226" w:rsidP="0078575D">
            <w:r>
              <w:t>12.000.000</w:t>
            </w:r>
          </w:p>
        </w:tc>
        <w:tc>
          <w:tcPr>
            <w:tcW w:w="1539" w:type="dxa"/>
          </w:tcPr>
          <w:p w:rsidR="00C31226" w:rsidRDefault="00C31226" w:rsidP="0078575D">
            <w:r>
              <w:t>1.000.000</w:t>
            </w:r>
          </w:p>
        </w:tc>
        <w:tc>
          <w:tcPr>
            <w:tcW w:w="1537" w:type="dxa"/>
          </w:tcPr>
          <w:p w:rsidR="00C31226" w:rsidRDefault="00C31226" w:rsidP="0078575D">
            <w:r>
              <w:t>32.000.000</w:t>
            </w:r>
          </w:p>
        </w:tc>
      </w:tr>
      <w:tr w:rsidR="00C31226" w:rsidTr="00C31226">
        <w:tc>
          <w:tcPr>
            <w:tcW w:w="640" w:type="dxa"/>
          </w:tcPr>
          <w:p w:rsidR="00C31226" w:rsidRDefault="00C31226" w:rsidP="0078575D">
            <w:r>
              <w:t>3</w:t>
            </w:r>
          </w:p>
        </w:tc>
        <w:tc>
          <w:tcPr>
            <w:tcW w:w="1515" w:type="dxa"/>
          </w:tcPr>
          <w:p w:rsidR="00C31226" w:rsidRDefault="00C31226" w:rsidP="0078575D">
            <w:r>
              <w:t>18.000.000</w:t>
            </w:r>
          </w:p>
        </w:tc>
        <w:tc>
          <w:tcPr>
            <w:tcW w:w="2583" w:type="dxa"/>
          </w:tcPr>
          <w:p w:rsidR="00C31226" w:rsidRDefault="00C31226" w:rsidP="0078575D">
            <w:r>
              <w:t>18.000.000 x 40%</w:t>
            </w:r>
          </w:p>
        </w:tc>
        <w:tc>
          <w:tcPr>
            <w:tcW w:w="1536" w:type="dxa"/>
          </w:tcPr>
          <w:p w:rsidR="00C31226" w:rsidRDefault="00C31226" w:rsidP="0078575D">
            <w:r>
              <w:t>7.</w:t>
            </w:r>
            <w:r>
              <w:t>200.000</w:t>
            </w:r>
          </w:p>
        </w:tc>
        <w:tc>
          <w:tcPr>
            <w:tcW w:w="1539" w:type="dxa"/>
          </w:tcPr>
          <w:p w:rsidR="00C31226" w:rsidRDefault="00C31226" w:rsidP="0078575D">
            <w:r>
              <w:t>600.000</w:t>
            </w:r>
          </w:p>
        </w:tc>
        <w:tc>
          <w:tcPr>
            <w:tcW w:w="1537" w:type="dxa"/>
          </w:tcPr>
          <w:p w:rsidR="00C31226" w:rsidRDefault="00C31226" w:rsidP="0078575D">
            <w:r>
              <w:t>39.200.000</w:t>
            </w:r>
          </w:p>
        </w:tc>
      </w:tr>
      <w:tr w:rsidR="00C31226" w:rsidTr="00C31226">
        <w:tc>
          <w:tcPr>
            <w:tcW w:w="640" w:type="dxa"/>
          </w:tcPr>
          <w:p w:rsidR="00C31226" w:rsidRDefault="00C31226" w:rsidP="0078575D">
            <w:r>
              <w:t>4</w:t>
            </w:r>
          </w:p>
        </w:tc>
        <w:tc>
          <w:tcPr>
            <w:tcW w:w="1515" w:type="dxa"/>
          </w:tcPr>
          <w:p w:rsidR="00C31226" w:rsidRDefault="00C31226" w:rsidP="0078575D">
            <w:r>
              <w:t>10.800.000</w:t>
            </w:r>
          </w:p>
        </w:tc>
        <w:tc>
          <w:tcPr>
            <w:tcW w:w="2583" w:type="dxa"/>
          </w:tcPr>
          <w:p w:rsidR="00C31226" w:rsidRDefault="00C31226" w:rsidP="0078575D">
            <w:r>
              <w:t>10.800.000 : 2</w:t>
            </w:r>
          </w:p>
        </w:tc>
        <w:tc>
          <w:tcPr>
            <w:tcW w:w="1536" w:type="dxa"/>
          </w:tcPr>
          <w:p w:rsidR="00C31226" w:rsidRDefault="00C31226" w:rsidP="0078575D">
            <w:r>
              <w:t>5.400.000</w:t>
            </w:r>
          </w:p>
        </w:tc>
        <w:tc>
          <w:tcPr>
            <w:tcW w:w="1539" w:type="dxa"/>
          </w:tcPr>
          <w:p w:rsidR="00C31226" w:rsidRDefault="00C31226" w:rsidP="0078575D">
            <w:r>
              <w:t>450.000</w:t>
            </w:r>
          </w:p>
        </w:tc>
        <w:tc>
          <w:tcPr>
            <w:tcW w:w="1537" w:type="dxa"/>
          </w:tcPr>
          <w:p w:rsidR="00C31226" w:rsidRDefault="00C31226" w:rsidP="0078575D">
            <w:r>
              <w:t>44.600.000</w:t>
            </w:r>
          </w:p>
        </w:tc>
      </w:tr>
      <w:tr w:rsidR="00C31226" w:rsidTr="00C31226">
        <w:tc>
          <w:tcPr>
            <w:tcW w:w="640" w:type="dxa"/>
          </w:tcPr>
          <w:p w:rsidR="00C31226" w:rsidRDefault="00C31226" w:rsidP="0078575D">
            <w:r>
              <w:t>5</w:t>
            </w:r>
          </w:p>
        </w:tc>
        <w:tc>
          <w:tcPr>
            <w:tcW w:w="1515" w:type="dxa"/>
          </w:tcPr>
          <w:p w:rsidR="00C31226" w:rsidRDefault="00C31226" w:rsidP="0078575D">
            <w:r>
              <w:t>10.800.000</w:t>
            </w:r>
          </w:p>
        </w:tc>
        <w:tc>
          <w:tcPr>
            <w:tcW w:w="2583" w:type="dxa"/>
          </w:tcPr>
          <w:p w:rsidR="00C31226" w:rsidRDefault="00C31226" w:rsidP="0078575D">
            <w:r>
              <w:t>10.800.000 : 2</w:t>
            </w:r>
          </w:p>
        </w:tc>
        <w:tc>
          <w:tcPr>
            <w:tcW w:w="1536" w:type="dxa"/>
          </w:tcPr>
          <w:p w:rsidR="00C31226" w:rsidRDefault="00C31226" w:rsidP="0078575D">
            <w:r>
              <w:t>5.400.000</w:t>
            </w:r>
          </w:p>
        </w:tc>
        <w:tc>
          <w:tcPr>
            <w:tcW w:w="1539" w:type="dxa"/>
          </w:tcPr>
          <w:p w:rsidR="00C31226" w:rsidRDefault="00C31226" w:rsidP="0078575D">
            <w:r>
              <w:t>450.000</w:t>
            </w:r>
          </w:p>
        </w:tc>
        <w:tc>
          <w:tcPr>
            <w:tcW w:w="1537" w:type="dxa"/>
          </w:tcPr>
          <w:p w:rsidR="00C31226" w:rsidRDefault="00C31226" w:rsidP="0078575D">
            <w:r>
              <w:t>50.000.000</w:t>
            </w:r>
          </w:p>
        </w:tc>
      </w:tr>
    </w:tbl>
    <w:p w:rsidR="0078575D" w:rsidRDefault="0078575D" w:rsidP="0078575D">
      <w:r>
        <w:t xml:space="preserve"> Trong đó:</w:t>
      </w:r>
    </w:p>
    <w:p w:rsidR="009B1819" w:rsidRDefault="0078575D" w:rsidP="0078575D">
      <w:r>
        <w:t xml:space="preserve"> + Mức khấu hao tài sản cố định từ năm thứ nhất đến hết năm thứ 3 được tính bằng giá trị còn lại của tài sản cố định nhân với tỷ lệ khấu hao nhanh (40%)</w:t>
      </w:r>
    </w:p>
    <w:p w:rsidR="0078575D" w:rsidRDefault="0078575D" w:rsidP="0078575D">
      <w:bookmarkStart w:id="0" w:name="_GoBack"/>
      <w:bookmarkEnd w:id="0"/>
      <w:r>
        <w:t>. + Từ năm thứ 4 trở đi, mức khấu hao hàng năm bằng giá trị còn lại của tài sản cố định (đầu năm thứ 4) chia cho số năm sử dụng còn lại của tài sản cố định (</w:t>
      </w:r>
      <w:proofErr w:type="gramStart"/>
      <w:r>
        <w:t>10.800.000 :</w:t>
      </w:r>
      <w:proofErr w:type="gramEnd"/>
      <w:r>
        <w:t xml:space="preserve"> 2 = 5.400.000). [Vì tại năm thứ 4: mức khấu hao theo phương pháp số dư giảm dần (10.800.000 x 40%= 4.320.000) thấp hơn mức khấu hao tính bình quân giữa giá trị còn lại và số năm sử dụng còn lại của tài sản cố định (</w:t>
      </w:r>
      <w:proofErr w:type="gramStart"/>
      <w:r>
        <w:t>10.800.000 :</w:t>
      </w:r>
      <w:proofErr w:type="gramEnd"/>
      <w:r>
        <w:t xml:space="preserve"> 2 = 5.400.000)].</w:t>
      </w:r>
    </w:p>
    <w:p w:rsidR="005E06A6" w:rsidRDefault="005E06A6" w:rsidP="0078575D"/>
    <w:sectPr w:rsidR="005E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5D"/>
    <w:rsid w:val="005E06A6"/>
    <w:rsid w:val="0078575D"/>
    <w:rsid w:val="009B1819"/>
    <w:rsid w:val="00A46F77"/>
    <w:rsid w:val="00C3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49B2"/>
  <w15:chartTrackingRefBased/>
  <w15:docId w15:val="{369738FE-7681-4C26-8CA1-9ACD06CD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75D"/>
    <w:pPr>
      <w:ind w:left="720"/>
      <w:contextualSpacing/>
    </w:pPr>
  </w:style>
  <w:style w:type="table" w:styleId="TableGrid">
    <w:name w:val="Table Grid"/>
    <w:basedOn w:val="TableNormal"/>
    <w:uiPriority w:val="39"/>
    <w:rsid w:val="0078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6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taluan2312@gmail.com</dc:creator>
  <cp:keywords/>
  <dc:description/>
  <cp:lastModifiedBy>taluan2312@gmail.com</cp:lastModifiedBy>
  <cp:revision>1</cp:revision>
  <dcterms:created xsi:type="dcterms:W3CDTF">2017-12-01T03:42:00Z</dcterms:created>
  <dcterms:modified xsi:type="dcterms:W3CDTF">2017-12-01T04:24:00Z</dcterms:modified>
</cp:coreProperties>
</file>